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680E920">
      <w:pPr>
        <w:pStyle w:val="32"/>
        <w:spacing w:line="560" w:lineRule="exact"/>
        <w:ind w:firstLine="0" w:firstLineChars="0"/>
        <w:jc w:val="both"/>
        <w:rPr>
          <w:rFonts w:cs="Times New Roman"/>
          <w:sz w:val="60"/>
          <w:szCs w:val="60"/>
        </w:rPr>
      </w:pPr>
      <w:bookmarkStart w:id="0" w:name="_Toc29673"/>
      <w:bookmarkStart w:id="1" w:name="_Toc205395155"/>
    </w:p>
    <w:p w14:paraId="21D09479">
      <w:pPr>
        <w:pStyle w:val="32"/>
        <w:spacing w:line="560" w:lineRule="exact"/>
        <w:ind w:firstLine="0" w:firstLineChars="0"/>
        <w:jc w:val="both"/>
        <w:rPr>
          <w:rFonts w:cs="Times New Roman"/>
        </w:rPr>
      </w:pPr>
    </w:p>
    <w:p w14:paraId="59DCAEC9">
      <w:pPr>
        <w:pStyle w:val="32"/>
        <w:spacing w:line="560" w:lineRule="exact"/>
        <w:ind w:firstLine="0" w:firstLineChars="0"/>
        <w:rPr>
          <w:rFonts w:hint="eastAsia" w:ascii="方正小标宋简体" w:hAnsi="方正小标宋简体" w:eastAsia="方正小标宋简体" w:cs="方正小标宋简体"/>
          <w:szCs w:val="44"/>
        </w:rPr>
      </w:pPr>
      <w:r>
        <w:rPr>
          <w:rFonts w:hint="eastAsia" w:ascii="方正小标宋简体" w:hAnsi="方正小标宋简体" w:eastAsia="方正小标宋简体" w:cs="方正小标宋简体"/>
          <w:szCs w:val="44"/>
        </w:rPr>
        <w:t>南通市海门区国民经济和社会发展</w:t>
      </w:r>
    </w:p>
    <w:p w14:paraId="022A4424">
      <w:pPr>
        <w:pStyle w:val="32"/>
        <w:spacing w:line="560" w:lineRule="exact"/>
        <w:ind w:firstLine="0" w:firstLineChars="0"/>
        <w:rPr>
          <w:rFonts w:cs="Times New Roman"/>
          <w:szCs w:val="44"/>
        </w:rPr>
      </w:pPr>
      <w:r>
        <w:rPr>
          <w:rFonts w:hint="eastAsia" w:ascii="方正小标宋简体" w:hAnsi="方正小标宋简体" w:eastAsia="方正小标宋简体" w:cs="方正小标宋简体"/>
          <w:szCs w:val="44"/>
        </w:rPr>
        <w:t>第十五个五年规划纲要</w:t>
      </w:r>
    </w:p>
    <w:p w14:paraId="2A84DADE">
      <w:pPr>
        <w:jc w:val="center"/>
        <w:rPr>
          <w:rFonts w:hint="eastAsia" w:ascii="楷体_GB2312" w:hAnsi="楷体_GB2312" w:eastAsia="楷体_GB2312" w:cs="楷体_GB2312"/>
          <w:bCs/>
          <w:szCs w:val="32"/>
        </w:rPr>
      </w:pPr>
    </w:p>
    <w:p w14:paraId="45CD3C8F">
      <w:pPr>
        <w:jc w:val="center"/>
        <w:rPr>
          <w:rFonts w:hint="eastAsia" w:ascii="楷体_GB2312" w:hAnsi="楷体_GB2312" w:eastAsia="楷体_GB2312" w:cs="楷体_GB2312"/>
          <w:bCs/>
          <w:szCs w:val="32"/>
        </w:rPr>
      </w:pPr>
    </w:p>
    <w:p w14:paraId="6D99167C">
      <w:pPr>
        <w:ind w:firstLine="0" w:firstLineChars="0"/>
        <w:jc w:val="center"/>
        <w:rPr>
          <w:rFonts w:hint="eastAsia" w:ascii="楷体_GB2312" w:hAnsi="楷体_GB2312" w:eastAsia="楷体_GB2312" w:cs="楷体_GB2312"/>
          <w:bCs/>
          <w:szCs w:val="32"/>
        </w:rPr>
      </w:pPr>
      <w:r>
        <w:rPr>
          <w:rFonts w:hint="eastAsia" w:ascii="楷体_GB2312" w:hAnsi="楷体_GB2312" w:eastAsia="楷体_GB2312" w:cs="楷体_GB2312"/>
          <w:bCs/>
          <w:szCs w:val="32"/>
        </w:rPr>
        <w:t>2026年1月15日南通市海门区</w:t>
      </w:r>
    </w:p>
    <w:p w14:paraId="25007967">
      <w:pPr>
        <w:ind w:firstLine="0" w:firstLineChars="0"/>
        <w:jc w:val="center"/>
        <w:rPr>
          <w:rFonts w:hint="eastAsia" w:ascii="楷体_GB2312" w:hAnsi="楷体_GB2312" w:eastAsia="楷体_GB2312" w:cs="楷体_GB2312"/>
          <w:bCs/>
          <w:szCs w:val="32"/>
        </w:rPr>
      </w:pPr>
      <w:r>
        <w:rPr>
          <w:rFonts w:hint="eastAsia" w:ascii="楷体_GB2312" w:hAnsi="楷体_GB2312" w:eastAsia="楷体_GB2312" w:cs="楷体_GB2312"/>
          <w:bCs/>
          <w:szCs w:val="32"/>
        </w:rPr>
        <w:t>第十八届人民代表大会第六次会议批准</w:t>
      </w:r>
    </w:p>
    <w:p w14:paraId="1E3E1CB1">
      <w:pPr>
        <w:ind w:firstLine="0" w:firstLineChars="0"/>
        <w:jc w:val="center"/>
        <w:rPr>
          <w:rFonts w:hint="eastAsia" w:ascii="楷体_GB2312" w:hAnsi="楷体_GB2312" w:eastAsia="楷体_GB2312" w:cs="楷体_GB2312"/>
          <w:bCs/>
          <w:szCs w:val="32"/>
        </w:rPr>
      </w:pPr>
    </w:p>
    <w:p w14:paraId="4FDF7596">
      <w:pPr>
        <w:ind w:firstLine="752"/>
        <w:rPr>
          <w:rFonts w:eastAsia="方正小标宋_GBK" w:cs="Times New Roman"/>
          <w:bCs/>
          <w:spacing w:val="8"/>
          <w:kern w:val="44"/>
          <w:sz w:val="36"/>
          <w:szCs w:val="36"/>
        </w:rPr>
      </w:pPr>
    </w:p>
    <w:p w14:paraId="4AAED9AD">
      <w:pPr>
        <w:pStyle w:val="7"/>
        <w:ind w:firstLine="752"/>
        <w:rPr>
          <w:rFonts w:ascii="Times New Roman" w:hAnsi="Times New Roman" w:eastAsia="方正小标宋_GBK" w:cs="Times New Roman"/>
          <w:bCs/>
          <w:spacing w:val="8"/>
          <w:kern w:val="44"/>
          <w:sz w:val="36"/>
          <w:szCs w:val="36"/>
          <w:lang w:eastAsia="zh-CN"/>
        </w:rPr>
      </w:pPr>
    </w:p>
    <w:p w14:paraId="30E1A80D">
      <w:pPr>
        <w:pStyle w:val="7"/>
        <w:ind w:firstLine="752"/>
        <w:rPr>
          <w:rFonts w:ascii="Times New Roman" w:hAnsi="Times New Roman" w:eastAsia="方正小标宋_GBK" w:cs="Times New Roman"/>
          <w:bCs/>
          <w:spacing w:val="8"/>
          <w:kern w:val="44"/>
          <w:sz w:val="36"/>
          <w:szCs w:val="36"/>
          <w:lang w:eastAsia="zh-CN"/>
        </w:rPr>
      </w:pPr>
    </w:p>
    <w:p w14:paraId="5BF8CB45">
      <w:pPr>
        <w:pStyle w:val="7"/>
        <w:ind w:firstLine="752"/>
        <w:rPr>
          <w:rFonts w:ascii="Times New Roman" w:hAnsi="Times New Roman" w:eastAsia="方正小标宋_GBK" w:cs="Times New Roman"/>
          <w:bCs/>
          <w:spacing w:val="8"/>
          <w:kern w:val="44"/>
          <w:sz w:val="36"/>
          <w:szCs w:val="36"/>
          <w:lang w:eastAsia="zh-CN"/>
        </w:rPr>
      </w:pPr>
    </w:p>
    <w:p w14:paraId="729AFA05">
      <w:pPr>
        <w:pStyle w:val="7"/>
        <w:ind w:firstLine="752"/>
        <w:rPr>
          <w:rFonts w:ascii="Times New Roman" w:hAnsi="Times New Roman" w:eastAsia="方正小标宋_GBK" w:cs="Times New Roman"/>
          <w:bCs/>
          <w:spacing w:val="8"/>
          <w:kern w:val="44"/>
          <w:sz w:val="36"/>
          <w:szCs w:val="36"/>
          <w:lang w:eastAsia="zh-CN"/>
        </w:rPr>
      </w:pPr>
    </w:p>
    <w:p w14:paraId="381DB87E">
      <w:pPr>
        <w:pStyle w:val="7"/>
        <w:ind w:firstLine="752"/>
        <w:rPr>
          <w:rFonts w:ascii="Times New Roman" w:hAnsi="Times New Roman" w:eastAsia="方正小标宋_GBK" w:cs="Times New Roman"/>
          <w:bCs/>
          <w:spacing w:val="8"/>
          <w:kern w:val="44"/>
          <w:sz w:val="36"/>
          <w:szCs w:val="36"/>
          <w:lang w:eastAsia="zh-CN"/>
        </w:rPr>
      </w:pPr>
    </w:p>
    <w:p w14:paraId="20CB723F">
      <w:pPr>
        <w:pStyle w:val="7"/>
        <w:ind w:firstLine="752"/>
        <w:rPr>
          <w:rFonts w:ascii="Times New Roman" w:hAnsi="Times New Roman" w:eastAsia="方正小标宋_GBK" w:cs="Times New Roman"/>
          <w:bCs/>
          <w:spacing w:val="8"/>
          <w:kern w:val="44"/>
          <w:sz w:val="36"/>
          <w:szCs w:val="36"/>
          <w:lang w:eastAsia="zh-CN"/>
        </w:rPr>
      </w:pPr>
    </w:p>
    <w:p w14:paraId="41767DD8">
      <w:pPr>
        <w:pStyle w:val="7"/>
        <w:ind w:firstLine="752"/>
        <w:rPr>
          <w:rFonts w:ascii="Times New Roman" w:hAnsi="Times New Roman" w:eastAsia="方正小标宋_GBK" w:cs="Times New Roman"/>
          <w:bCs/>
          <w:spacing w:val="8"/>
          <w:kern w:val="44"/>
          <w:sz w:val="36"/>
          <w:szCs w:val="36"/>
          <w:lang w:eastAsia="zh-CN"/>
        </w:rPr>
      </w:pPr>
    </w:p>
    <w:p w14:paraId="6EDA5F9C">
      <w:pPr>
        <w:pStyle w:val="7"/>
        <w:ind w:firstLine="752"/>
        <w:rPr>
          <w:rFonts w:ascii="Times New Roman" w:hAnsi="Times New Roman" w:eastAsia="方正小标宋_GBK" w:cs="Times New Roman"/>
          <w:bCs/>
          <w:spacing w:val="8"/>
          <w:kern w:val="44"/>
          <w:sz w:val="36"/>
          <w:szCs w:val="36"/>
          <w:lang w:eastAsia="zh-CN"/>
        </w:rPr>
      </w:pPr>
    </w:p>
    <w:p w14:paraId="3E76777F">
      <w:pPr>
        <w:pStyle w:val="7"/>
        <w:ind w:firstLine="752"/>
        <w:rPr>
          <w:rFonts w:ascii="Times New Roman" w:hAnsi="Times New Roman" w:eastAsia="方正小标宋_GBK" w:cs="Times New Roman"/>
          <w:bCs/>
          <w:spacing w:val="8"/>
          <w:kern w:val="44"/>
          <w:sz w:val="36"/>
          <w:szCs w:val="36"/>
          <w:lang w:eastAsia="zh-CN"/>
        </w:rPr>
      </w:pPr>
    </w:p>
    <w:p w14:paraId="61D30958">
      <w:pPr>
        <w:pStyle w:val="7"/>
        <w:ind w:firstLine="752"/>
        <w:rPr>
          <w:rFonts w:ascii="Times New Roman" w:hAnsi="Times New Roman" w:eastAsia="方正小标宋_GBK" w:cs="Times New Roman"/>
          <w:bCs/>
          <w:spacing w:val="8"/>
          <w:kern w:val="44"/>
          <w:sz w:val="36"/>
          <w:szCs w:val="36"/>
          <w:lang w:eastAsia="zh-CN"/>
        </w:rPr>
      </w:pPr>
    </w:p>
    <w:p w14:paraId="781A565F">
      <w:pPr>
        <w:pStyle w:val="7"/>
        <w:ind w:firstLine="0" w:firstLineChars="0"/>
        <w:jc w:val="center"/>
        <w:rPr>
          <w:rFonts w:hint="eastAsia" w:ascii="方正楷体_GBK" w:hAnsi="方正楷体_GBK" w:eastAsia="楷体_GB2312" w:cs="方正楷体_GBK"/>
          <w:bCs/>
          <w:spacing w:val="8"/>
          <w:kern w:val="44"/>
          <w:sz w:val="36"/>
          <w:szCs w:val="36"/>
          <w:lang w:eastAsia="zh-CN"/>
        </w:rPr>
      </w:pPr>
      <w:r>
        <w:rPr>
          <w:rFonts w:hint="eastAsia" w:ascii="方正楷体_GBK" w:hAnsi="方正楷体_GBK" w:eastAsia="楷体_GB2312" w:cs="方正楷体_GBK"/>
          <w:bCs/>
          <w:sz w:val="40"/>
          <w:szCs w:val="40"/>
          <w:lang w:eastAsia="zh-CN"/>
        </w:rPr>
        <w:t>南通市海门区人民政府</w:t>
      </w:r>
    </w:p>
    <w:p w14:paraId="25707FD0">
      <w:pPr>
        <w:pStyle w:val="7"/>
        <w:ind w:firstLine="752"/>
        <w:rPr>
          <w:rFonts w:ascii="Times New Roman" w:hAnsi="Times New Roman" w:eastAsia="方正小标宋_GBK" w:cs="Times New Roman"/>
          <w:bCs/>
          <w:spacing w:val="8"/>
          <w:kern w:val="44"/>
          <w:sz w:val="36"/>
          <w:szCs w:val="36"/>
          <w:lang w:eastAsia="zh-CN"/>
        </w:rPr>
        <w:sectPr>
          <w:headerReference r:id="rId7" w:type="first"/>
          <w:footerReference r:id="rId10" w:type="first"/>
          <w:headerReference r:id="rId5" w:type="default"/>
          <w:footerReference r:id="rId8" w:type="default"/>
          <w:headerReference r:id="rId6" w:type="even"/>
          <w:footerReference r:id="rId9" w:type="even"/>
          <w:pgSz w:w="11906" w:h="16838"/>
          <w:pgMar w:top="1814" w:right="1531" w:bottom="1984" w:left="1531" w:header="851" w:footer="992" w:gutter="0"/>
          <w:pgNumType w:start="1"/>
          <w:cols w:space="0" w:num="1"/>
          <w:docGrid w:type="lines" w:linePitch="312" w:charSpace="0"/>
        </w:sectPr>
      </w:pPr>
    </w:p>
    <w:p w14:paraId="67E4076E">
      <w:pPr>
        <w:pStyle w:val="7"/>
        <w:spacing w:after="156" w:afterLines="50"/>
        <w:ind w:firstLine="0" w:firstLineChars="0"/>
        <w:jc w:val="center"/>
        <w:rPr>
          <w:rFonts w:hint="eastAsia" w:ascii="方正小标宋简体" w:hAnsi="方正小标宋简体" w:eastAsia="方正小标宋简体" w:cs="方正小标宋简体"/>
          <w:bCs/>
          <w:spacing w:val="8"/>
          <w:kern w:val="44"/>
          <w:sz w:val="36"/>
          <w:szCs w:val="36"/>
          <w:lang w:eastAsia="zh-CN"/>
        </w:rPr>
      </w:pPr>
      <w:r>
        <w:rPr>
          <w:rFonts w:hint="eastAsia" w:ascii="方正小标宋简体" w:hAnsi="方正小标宋简体" w:eastAsia="方正小标宋简体" w:cs="方正小标宋简体"/>
          <w:bCs/>
          <w:spacing w:val="8"/>
          <w:kern w:val="44"/>
          <w:sz w:val="36"/>
          <w:szCs w:val="36"/>
          <w:lang w:eastAsia="zh-CN"/>
        </w:rPr>
        <w:t>目  录</w:t>
      </w:r>
    </w:p>
    <w:p w14:paraId="31FE01FF">
      <w:pPr>
        <w:pStyle w:val="11"/>
        <w:tabs>
          <w:tab w:val="right" w:leader="dot" w:pos="8844"/>
        </w:tabs>
        <w:spacing w:line="560" w:lineRule="exact"/>
        <w:rPr>
          <w:rFonts w:eastAsia="黑体" w:cs="Times New Roman"/>
          <w:sz w:val="32"/>
          <w:szCs w:val="32"/>
        </w:rPr>
      </w:pPr>
      <w:r>
        <w:rPr>
          <w:rFonts w:eastAsia="方正小标宋_GBK" w:cs="Times New Roman"/>
          <w:bCs/>
          <w:spacing w:val="8"/>
          <w:kern w:val="44"/>
          <w:sz w:val="32"/>
          <w:szCs w:val="32"/>
        </w:rPr>
        <w:fldChar w:fldCharType="begin"/>
      </w:r>
      <w:r>
        <w:rPr>
          <w:rFonts w:eastAsia="方正小标宋_GBK" w:cs="Times New Roman"/>
          <w:bCs/>
          <w:spacing w:val="8"/>
          <w:kern w:val="44"/>
          <w:sz w:val="32"/>
          <w:szCs w:val="32"/>
        </w:rPr>
        <w:instrText xml:space="preserve"> TOC \o "1-2" \h \z \u </w:instrText>
      </w:r>
      <w:r>
        <w:rPr>
          <w:rFonts w:eastAsia="方正小标宋_GBK" w:cs="Times New Roman"/>
          <w:bCs/>
          <w:spacing w:val="8"/>
          <w:kern w:val="44"/>
          <w:sz w:val="32"/>
          <w:szCs w:val="32"/>
        </w:rPr>
        <w:fldChar w:fldCharType="separate"/>
      </w:r>
      <w:r>
        <w:rPr>
          <w:rFonts w:eastAsia="黑体"/>
        </w:rPr>
        <w:fldChar w:fldCharType="begin"/>
      </w:r>
      <w:r>
        <w:rPr>
          <w:rFonts w:eastAsia="黑体"/>
        </w:rPr>
        <w:instrText xml:space="preserve"> HYPERLINK \l "_Toc7771" </w:instrText>
      </w:r>
      <w:r>
        <w:rPr>
          <w:rFonts w:eastAsia="黑体"/>
        </w:rPr>
        <w:fldChar w:fldCharType="separate"/>
      </w:r>
      <w:r>
        <w:rPr>
          <w:rFonts w:eastAsia="黑体" w:cs="Times New Roman"/>
          <w:sz w:val="32"/>
          <w:szCs w:val="32"/>
        </w:rPr>
        <w:t>序  言</w:t>
      </w:r>
      <w:r>
        <w:rPr>
          <w:rFonts w:eastAsia="黑体" w:cs="Times New Roman"/>
          <w:sz w:val="32"/>
          <w:szCs w:val="32"/>
        </w:rPr>
        <w:tab/>
      </w:r>
      <w:r>
        <w:rPr>
          <w:rFonts w:eastAsia="黑体" w:cs="Times New Roman"/>
          <w:sz w:val="32"/>
          <w:szCs w:val="32"/>
        </w:rPr>
        <w:fldChar w:fldCharType="begin"/>
      </w:r>
      <w:r>
        <w:rPr>
          <w:rFonts w:eastAsia="黑体" w:cs="Times New Roman"/>
          <w:sz w:val="32"/>
          <w:szCs w:val="32"/>
        </w:rPr>
        <w:instrText xml:space="preserve"> PAGEREF _Toc7771 \h </w:instrText>
      </w:r>
      <w:r>
        <w:rPr>
          <w:rFonts w:eastAsia="黑体" w:cs="Times New Roman"/>
          <w:sz w:val="32"/>
          <w:szCs w:val="32"/>
        </w:rPr>
        <w:fldChar w:fldCharType="separate"/>
      </w:r>
      <w:r>
        <w:rPr>
          <w:rFonts w:eastAsia="黑体" w:cs="Times New Roman"/>
          <w:sz w:val="32"/>
          <w:szCs w:val="32"/>
        </w:rPr>
        <w:t>1</w:t>
      </w:r>
      <w:r>
        <w:rPr>
          <w:rFonts w:eastAsia="黑体" w:cs="Times New Roman"/>
          <w:sz w:val="32"/>
          <w:szCs w:val="32"/>
        </w:rPr>
        <w:fldChar w:fldCharType="end"/>
      </w:r>
      <w:r>
        <w:rPr>
          <w:rFonts w:eastAsia="黑体" w:cs="Times New Roman"/>
          <w:sz w:val="32"/>
          <w:szCs w:val="32"/>
        </w:rPr>
        <w:fldChar w:fldCharType="end"/>
      </w:r>
    </w:p>
    <w:p w14:paraId="789F50DA">
      <w:pPr>
        <w:pStyle w:val="11"/>
        <w:tabs>
          <w:tab w:val="right" w:leader="dot" w:pos="8844"/>
        </w:tabs>
        <w:spacing w:line="560" w:lineRule="exact"/>
        <w:rPr>
          <w:rFonts w:eastAsia="黑体" w:cs="Times New Roman"/>
          <w:sz w:val="32"/>
          <w:szCs w:val="32"/>
        </w:rPr>
      </w:pPr>
      <w:r>
        <w:rPr>
          <w:rFonts w:eastAsia="黑体"/>
        </w:rPr>
        <w:fldChar w:fldCharType="begin"/>
      </w:r>
      <w:r>
        <w:rPr>
          <w:rFonts w:eastAsia="黑体"/>
        </w:rPr>
        <w:instrText xml:space="preserve"> HYPERLINK \l "_Toc25969" </w:instrText>
      </w:r>
      <w:r>
        <w:rPr>
          <w:rFonts w:eastAsia="黑体"/>
        </w:rPr>
        <w:fldChar w:fldCharType="separate"/>
      </w:r>
      <w:r>
        <w:rPr>
          <w:rFonts w:eastAsia="黑体" w:cs="Times New Roman"/>
          <w:sz w:val="32"/>
          <w:szCs w:val="32"/>
        </w:rPr>
        <w:t>第一章  踔厉奋发  中国式现代化海门新实践实现良好开局</w:t>
      </w:r>
      <w:r>
        <w:rPr>
          <w:rFonts w:eastAsia="黑体" w:cs="Times New Roman"/>
          <w:sz w:val="32"/>
          <w:szCs w:val="32"/>
        </w:rPr>
        <w:tab/>
      </w:r>
      <w:r>
        <w:rPr>
          <w:rFonts w:eastAsia="黑体" w:cs="Times New Roman"/>
          <w:sz w:val="32"/>
          <w:szCs w:val="32"/>
        </w:rPr>
        <w:fldChar w:fldCharType="begin"/>
      </w:r>
      <w:r>
        <w:rPr>
          <w:rFonts w:eastAsia="黑体" w:cs="Times New Roman"/>
          <w:sz w:val="32"/>
          <w:szCs w:val="32"/>
        </w:rPr>
        <w:instrText xml:space="preserve"> PAGEREF _Toc25969 \h </w:instrText>
      </w:r>
      <w:r>
        <w:rPr>
          <w:rFonts w:eastAsia="黑体" w:cs="Times New Roman"/>
          <w:sz w:val="32"/>
          <w:szCs w:val="32"/>
        </w:rPr>
        <w:fldChar w:fldCharType="separate"/>
      </w:r>
      <w:r>
        <w:rPr>
          <w:rFonts w:eastAsia="黑体" w:cs="Times New Roman"/>
          <w:sz w:val="32"/>
          <w:szCs w:val="32"/>
        </w:rPr>
        <w:t>2</w:t>
      </w:r>
      <w:r>
        <w:rPr>
          <w:rFonts w:eastAsia="黑体" w:cs="Times New Roman"/>
          <w:sz w:val="32"/>
          <w:szCs w:val="32"/>
        </w:rPr>
        <w:fldChar w:fldCharType="end"/>
      </w:r>
      <w:r>
        <w:rPr>
          <w:rFonts w:eastAsia="黑体" w:cs="Times New Roman"/>
          <w:sz w:val="32"/>
          <w:szCs w:val="32"/>
        </w:rPr>
        <w:fldChar w:fldCharType="end"/>
      </w:r>
    </w:p>
    <w:p w14:paraId="12EDA466">
      <w:pPr>
        <w:pStyle w:val="14"/>
        <w:tabs>
          <w:tab w:val="right" w:leader="dot" w:pos="8844"/>
        </w:tabs>
        <w:spacing w:line="560" w:lineRule="exact"/>
        <w:ind w:firstLine="640"/>
        <w:rPr>
          <w:rFonts w:eastAsia="楷体_GB2312" w:cs="Times New Roman"/>
          <w:szCs w:val="32"/>
        </w:rPr>
      </w:pPr>
      <w:r>
        <w:rPr>
          <w:rFonts w:eastAsia="楷体_GB2312"/>
        </w:rPr>
        <w:fldChar w:fldCharType="begin"/>
      </w:r>
      <w:r>
        <w:rPr>
          <w:rFonts w:eastAsia="楷体_GB2312"/>
        </w:rPr>
        <w:instrText xml:space="preserve"> HYPERLINK \l "_Toc2144" </w:instrText>
      </w:r>
      <w:r>
        <w:rPr>
          <w:rFonts w:eastAsia="楷体_GB2312"/>
        </w:rPr>
        <w:fldChar w:fldCharType="separate"/>
      </w:r>
      <w:r>
        <w:rPr>
          <w:rFonts w:eastAsia="楷体_GB2312" w:cs="Times New Roman"/>
          <w:szCs w:val="32"/>
        </w:rPr>
        <w:t>第一节  发展基础</w:t>
      </w:r>
      <w:r>
        <w:rPr>
          <w:rFonts w:eastAsia="楷体_GB2312" w:cs="Times New Roman"/>
          <w:szCs w:val="32"/>
        </w:rPr>
        <w:tab/>
      </w:r>
      <w:r>
        <w:rPr>
          <w:rFonts w:eastAsia="楷体_GB2312" w:cs="Times New Roman"/>
          <w:szCs w:val="32"/>
        </w:rPr>
        <w:fldChar w:fldCharType="begin"/>
      </w:r>
      <w:r>
        <w:rPr>
          <w:rFonts w:eastAsia="楷体_GB2312" w:cs="Times New Roman"/>
          <w:szCs w:val="32"/>
        </w:rPr>
        <w:instrText xml:space="preserve"> PAGEREF _Toc2144 \h </w:instrText>
      </w:r>
      <w:r>
        <w:rPr>
          <w:rFonts w:eastAsia="楷体_GB2312" w:cs="Times New Roman"/>
          <w:szCs w:val="32"/>
        </w:rPr>
        <w:fldChar w:fldCharType="separate"/>
      </w:r>
      <w:r>
        <w:rPr>
          <w:rFonts w:eastAsia="楷体_GB2312" w:cs="Times New Roman"/>
          <w:szCs w:val="32"/>
        </w:rPr>
        <w:t>2</w:t>
      </w:r>
      <w:r>
        <w:rPr>
          <w:rFonts w:eastAsia="楷体_GB2312" w:cs="Times New Roman"/>
          <w:szCs w:val="32"/>
        </w:rPr>
        <w:fldChar w:fldCharType="end"/>
      </w:r>
      <w:r>
        <w:rPr>
          <w:rFonts w:eastAsia="楷体_GB2312" w:cs="Times New Roman"/>
          <w:szCs w:val="32"/>
        </w:rPr>
        <w:fldChar w:fldCharType="end"/>
      </w:r>
    </w:p>
    <w:p w14:paraId="41C8916E">
      <w:pPr>
        <w:pStyle w:val="14"/>
        <w:tabs>
          <w:tab w:val="right" w:leader="dot" w:pos="8844"/>
        </w:tabs>
        <w:spacing w:line="560" w:lineRule="exact"/>
        <w:ind w:firstLine="640"/>
        <w:rPr>
          <w:rFonts w:eastAsia="楷体_GB2312" w:cs="Times New Roman"/>
          <w:szCs w:val="32"/>
        </w:rPr>
      </w:pPr>
      <w:r>
        <w:rPr>
          <w:rFonts w:eastAsia="楷体_GB2312"/>
        </w:rPr>
        <w:fldChar w:fldCharType="begin"/>
      </w:r>
      <w:r>
        <w:rPr>
          <w:rFonts w:eastAsia="楷体_GB2312"/>
        </w:rPr>
        <w:instrText xml:space="preserve"> HYPERLINK \l "_Toc29808" </w:instrText>
      </w:r>
      <w:r>
        <w:rPr>
          <w:rFonts w:eastAsia="楷体_GB2312"/>
        </w:rPr>
        <w:fldChar w:fldCharType="separate"/>
      </w:r>
      <w:r>
        <w:rPr>
          <w:rFonts w:eastAsia="楷体_GB2312" w:cs="Times New Roman"/>
          <w:szCs w:val="32"/>
        </w:rPr>
        <w:t>第二节  面临形势</w:t>
      </w:r>
      <w:r>
        <w:rPr>
          <w:rFonts w:eastAsia="楷体_GB2312" w:cs="Times New Roman"/>
          <w:szCs w:val="32"/>
        </w:rPr>
        <w:tab/>
      </w:r>
      <w:r>
        <w:rPr>
          <w:rFonts w:eastAsia="楷体_GB2312" w:cs="Times New Roman"/>
          <w:szCs w:val="32"/>
        </w:rPr>
        <w:fldChar w:fldCharType="begin"/>
      </w:r>
      <w:r>
        <w:rPr>
          <w:rFonts w:eastAsia="楷体_GB2312" w:cs="Times New Roman"/>
          <w:szCs w:val="32"/>
        </w:rPr>
        <w:instrText xml:space="preserve"> PAGEREF _Toc29808 \h </w:instrText>
      </w:r>
      <w:r>
        <w:rPr>
          <w:rFonts w:eastAsia="楷体_GB2312" w:cs="Times New Roman"/>
          <w:szCs w:val="32"/>
        </w:rPr>
        <w:fldChar w:fldCharType="separate"/>
      </w:r>
      <w:r>
        <w:rPr>
          <w:rFonts w:eastAsia="楷体_GB2312" w:cs="Times New Roman"/>
          <w:szCs w:val="32"/>
        </w:rPr>
        <w:t>8</w:t>
      </w:r>
      <w:r>
        <w:rPr>
          <w:rFonts w:eastAsia="楷体_GB2312" w:cs="Times New Roman"/>
          <w:szCs w:val="32"/>
        </w:rPr>
        <w:fldChar w:fldCharType="end"/>
      </w:r>
      <w:r>
        <w:rPr>
          <w:rFonts w:eastAsia="楷体_GB2312" w:cs="Times New Roman"/>
          <w:szCs w:val="32"/>
        </w:rPr>
        <w:fldChar w:fldCharType="end"/>
      </w:r>
    </w:p>
    <w:p w14:paraId="46800187">
      <w:pPr>
        <w:pStyle w:val="14"/>
        <w:tabs>
          <w:tab w:val="right" w:leader="dot" w:pos="8844"/>
        </w:tabs>
        <w:spacing w:line="560" w:lineRule="exact"/>
        <w:ind w:firstLine="640"/>
        <w:rPr>
          <w:rFonts w:eastAsia="楷体_GB2312" w:cs="Times New Roman"/>
          <w:szCs w:val="32"/>
        </w:rPr>
      </w:pPr>
      <w:r>
        <w:rPr>
          <w:rFonts w:eastAsia="楷体_GB2312"/>
        </w:rPr>
        <w:fldChar w:fldCharType="begin"/>
      </w:r>
      <w:r>
        <w:rPr>
          <w:rFonts w:eastAsia="楷体_GB2312"/>
        </w:rPr>
        <w:instrText xml:space="preserve"> HYPERLINK \l "_Toc14678" </w:instrText>
      </w:r>
      <w:r>
        <w:rPr>
          <w:rFonts w:eastAsia="楷体_GB2312"/>
        </w:rPr>
        <w:fldChar w:fldCharType="separate"/>
      </w:r>
      <w:r>
        <w:rPr>
          <w:rFonts w:eastAsia="楷体_GB2312" w:cs="Times New Roman"/>
          <w:szCs w:val="32"/>
        </w:rPr>
        <w:t>第三节  阶段特征</w:t>
      </w:r>
      <w:r>
        <w:rPr>
          <w:rFonts w:eastAsia="楷体_GB2312" w:cs="Times New Roman"/>
          <w:szCs w:val="32"/>
        </w:rPr>
        <w:tab/>
      </w:r>
      <w:r>
        <w:rPr>
          <w:rFonts w:eastAsia="楷体_GB2312" w:cs="Times New Roman"/>
          <w:szCs w:val="32"/>
        </w:rPr>
        <w:fldChar w:fldCharType="begin"/>
      </w:r>
      <w:r>
        <w:rPr>
          <w:rFonts w:eastAsia="楷体_GB2312" w:cs="Times New Roman"/>
          <w:szCs w:val="32"/>
        </w:rPr>
        <w:instrText xml:space="preserve"> PAGEREF _Toc14678 \h </w:instrText>
      </w:r>
      <w:r>
        <w:rPr>
          <w:rFonts w:eastAsia="楷体_GB2312" w:cs="Times New Roman"/>
          <w:szCs w:val="32"/>
        </w:rPr>
        <w:fldChar w:fldCharType="separate"/>
      </w:r>
      <w:r>
        <w:rPr>
          <w:rFonts w:eastAsia="楷体_GB2312" w:cs="Times New Roman"/>
          <w:szCs w:val="32"/>
        </w:rPr>
        <w:t>10</w:t>
      </w:r>
      <w:r>
        <w:rPr>
          <w:rFonts w:eastAsia="楷体_GB2312" w:cs="Times New Roman"/>
          <w:szCs w:val="32"/>
        </w:rPr>
        <w:fldChar w:fldCharType="end"/>
      </w:r>
      <w:r>
        <w:rPr>
          <w:rFonts w:eastAsia="楷体_GB2312" w:cs="Times New Roman"/>
          <w:szCs w:val="32"/>
        </w:rPr>
        <w:fldChar w:fldCharType="end"/>
      </w:r>
    </w:p>
    <w:p w14:paraId="37C76658">
      <w:pPr>
        <w:pStyle w:val="11"/>
        <w:tabs>
          <w:tab w:val="right" w:leader="dot" w:pos="8844"/>
        </w:tabs>
        <w:spacing w:line="560" w:lineRule="exact"/>
        <w:rPr>
          <w:rFonts w:eastAsia="黑体" w:cs="Times New Roman"/>
          <w:sz w:val="32"/>
          <w:szCs w:val="32"/>
        </w:rPr>
      </w:pPr>
      <w:r>
        <w:rPr>
          <w:rFonts w:eastAsia="黑体"/>
        </w:rPr>
        <w:fldChar w:fldCharType="begin"/>
      </w:r>
      <w:r>
        <w:rPr>
          <w:rFonts w:eastAsia="黑体"/>
        </w:rPr>
        <w:instrText xml:space="preserve"> HYPERLINK \l "_Toc30804" </w:instrText>
      </w:r>
      <w:r>
        <w:rPr>
          <w:rFonts w:eastAsia="黑体"/>
        </w:rPr>
        <w:fldChar w:fldCharType="separate"/>
      </w:r>
      <w:r>
        <w:rPr>
          <w:rFonts w:eastAsia="黑体" w:cs="Times New Roman"/>
          <w:sz w:val="32"/>
          <w:szCs w:val="32"/>
        </w:rPr>
        <w:t>第二章  奋勇前行  谱写“强富美高”新海门现代化建设新篇章</w:t>
      </w:r>
      <w:r>
        <w:rPr>
          <w:rFonts w:eastAsia="黑体" w:cs="Times New Roman"/>
          <w:sz w:val="32"/>
          <w:szCs w:val="32"/>
        </w:rPr>
        <w:tab/>
      </w:r>
      <w:r>
        <w:rPr>
          <w:rFonts w:eastAsia="黑体" w:cs="Times New Roman"/>
          <w:sz w:val="32"/>
          <w:szCs w:val="32"/>
        </w:rPr>
        <w:fldChar w:fldCharType="begin"/>
      </w:r>
      <w:r>
        <w:rPr>
          <w:rFonts w:eastAsia="黑体" w:cs="Times New Roman"/>
          <w:sz w:val="32"/>
          <w:szCs w:val="32"/>
        </w:rPr>
        <w:instrText xml:space="preserve"> PAGEREF _Toc30804 \h </w:instrText>
      </w:r>
      <w:r>
        <w:rPr>
          <w:rFonts w:eastAsia="黑体" w:cs="Times New Roman"/>
          <w:sz w:val="32"/>
          <w:szCs w:val="32"/>
        </w:rPr>
        <w:fldChar w:fldCharType="separate"/>
      </w:r>
      <w:r>
        <w:rPr>
          <w:rFonts w:eastAsia="黑体" w:cs="Times New Roman"/>
          <w:sz w:val="32"/>
          <w:szCs w:val="32"/>
        </w:rPr>
        <w:t>12</w:t>
      </w:r>
      <w:r>
        <w:rPr>
          <w:rFonts w:eastAsia="黑体" w:cs="Times New Roman"/>
          <w:sz w:val="32"/>
          <w:szCs w:val="32"/>
        </w:rPr>
        <w:fldChar w:fldCharType="end"/>
      </w:r>
      <w:r>
        <w:rPr>
          <w:rFonts w:eastAsia="黑体" w:cs="Times New Roman"/>
          <w:sz w:val="32"/>
          <w:szCs w:val="32"/>
        </w:rPr>
        <w:fldChar w:fldCharType="end"/>
      </w:r>
    </w:p>
    <w:p w14:paraId="77AE10B0">
      <w:pPr>
        <w:pStyle w:val="14"/>
        <w:tabs>
          <w:tab w:val="right" w:leader="dot" w:pos="8844"/>
        </w:tabs>
        <w:spacing w:line="560" w:lineRule="exact"/>
        <w:ind w:firstLine="640"/>
        <w:rPr>
          <w:rFonts w:eastAsia="楷体_GB2312" w:cs="Times New Roman"/>
          <w:szCs w:val="32"/>
        </w:rPr>
      </w:pPr>
      <w:r>
        <w:rPr>
          <w:rFonts w:eastAsia="楷体_GB2312"/>
        </w:rPr>
        <w:fldChar w:fldCharType="begin"/>
      </w:r>
      <w:r>
        <w:rPr>
          <w:rFonts w:eastAsia="楷体_GB2312"/>
        </w:rPr>
        <w:instrText xml:space="preserve"> HYPERLINK \l "_Toc22394" </w:instrText>
      </w:r>
      <w:r>
        <w:rPr>
          <w:rFonts w:eastAsia="楷体_GB2312"/>
        </w:rPr>
        <w:fldChar w:fldCharType="separate"/>
      </w:r>
      <w:r>
        <w:rPr>
          <w:rFonts w:eastAsia="楷体_GB2312" w:cs="Times New Roman"/>
          <w:szCs w:val="32"/>
        </w:rPr>
        <w:t>第一节  指导思想</w:t>
      </w:r>
      <w:r>
        <w:rPr>
          <w:rFonts w:eastAsia="楷体_GB2312" w:cs="Times New Roman"/>
          <w:szCs w:val="32"/>
        </w:rPr>
        <w:tab/>
      </w:r>
      <w:r>
        <w:rPr>
          <w:rFonts w:eastAsia="楷体_GB2312" w:cs="Times New Roman"/>
          <w:szCs w:val="32"/>
        </w:rPr>
        <w:fldChar w:fldCharType="begin"/>
      </w:r>
      <w:r>
        <w:rPr>
          <w:rFonts w:eastAsia="楷体_GB2312" w:cs="Times New Roman"/>
          <w:szCs w:val="32"/>
        </w:rPr>
        <w:instrText xml:space="preserve"> PAGEREF _Toc22394 \h </w:instrText>
      </w:r>
      <w:r>
        <w:rPr>
          <w:rFonts w:eastAsia="楷体_GB2312" w:cs="Times New Roman"/>
          <w:szCs w:val="32"/>
        </w:rPr>
        <w:fldChar w:fldCharType="separate"/>
      </w:r>
      <w:r>
        <w:rPr>
          <w:rFonts w:eastAsia="楷体_GB2312" w:cs="Times New Roman"/>
          <w:szCs w:val="32"/>
        </w:rPr>
        <w:t>12</w:t>
      </w:r>
      <w:r>
        <w:rPr>
          <w:rFonts w:eastAsia="楷体_GB2312" w:cs="Times New Roman"/>
          <w:szCs w:val="32"/>
        </w:rPr>
        <w:fldChar w:fldCharType="end"/>
      </w:r>
      <w:r>
        <w:rPr>
          <w:rFonts w:eastAsia="楷体_GB2312" w:cs="Times New Roman"/>
          <w:szCs w:val="32"/>
        </w:rPr>
        <w:fldChar w:fldCharType="end"/>
      </w:r>
    </w:p>
    <w:p w14:paraId="6BC31E28">
      <w:pPr>
        <w:pStyle w:val="14"/>
        <w:tabs>
          <w:tab w:val="right" w:leader="dot" w:pos="8844"/>
        </w:tabs>
        <w:spacing w:line="560" w:lineRule="exact"/>
        <w:ind w:firstLine="640"/>
        <w:rPr>
          <w:rFonts w:eastAsia="楷体_GB2312" w:cs="Times New Roman"/>
          <w:szCs w:val="32"/>
        </w:rPr>
      </w:pPr>
      <w:r>
        <w:rPr>
          <w:rFonts w:eastAsia="楷体_GB2312"/>
        </w:rPr>
        <w:fldChar w:fldCharType="begin"/>
      </w:r>
      <w:r>
        <w:rPr>
          <w:rFonts w:eastAsia="楷体_GB2312"/>
        </w:rPr>
        <w:instrText xml:space="preserve"> HYPERLINK \l "_Toc22036" </w:instrText>
      </w:r>
      <w:r>
        <w:rPr>
          <w:rFonts w:eastAsia="楷体_GB2312"/>
        </w:rPr>
        <w:fldChar w:fldCharType="separate"/>
      </w:r>
      <w:r>
        <w:rPr>
          <w:rFonts w:eastAsia="楷体_GB2312" w:cs="Times New Roman"/>
          <w:szCs w:val="32"/>
        </w:rPr>
        <w:t>第二节  战略路径</w:t>
      </w:r>
      <w:r>
        <w:rPr>
          <w:rFonts w:eastAsia="楷体_GB2312" w:cs="Times New Roman"/>
          <w:szCs w:val="32"/>
        </w:rPr>
        <w:tab/>
      </w:r>
      <w:r>
        <w:rPr>
          <w:rFonts w:eastAsia="楷体_GB2312" w:cs="Times New Roman"/>
          <w:szCs w:val="32"/>
        </w:rPr>
        <w:fldChar w:fldCharType="begin"/>
      </w:r>
      <w:r>
        <w:rPr>
          <w:rFonts w:eastAsia="楷体_GB2312" w:cs="Times New Roman"/>
          <w:szCs w:val="32"/>
        </w:rPr>
        <w:instrText xml:space="preserve"> PAGEREF _Toc22036 \h </w:instrText>
      </w:r>
      <w:r>
        <w:rPr>
          <w:rFonts w:eastAsia="楷体_GB2312" w:cs="Times New Roman"/>
          <w:szCs w:val="32"/>
        </w:rPr>
        <w:fldChar w:fldCharType="separate"/>
      </w:r>
      <w:r>
        <w:rPr>
          <w:rFonts w:eastAsia="楷体_GB2312" w:cs="Times New Roman"/>
          <w:szCs w:val="32"/>
        </w:rPr>
        <w:t>12</w:t>
      </w:r>
      <w:r>
        <w:rPr>
          <w:rFonts w:eastAsia="楷体_GB2312" w:cs="Times New Roman"/>
          <w:szCs w:val="32"/>
        </w:rPr>
        <w:fldChar w:fldCharType="end"/>
      </w:r>
      <w:r>
        <w:rPr>
          <w:rFonts w:eastAsia="楷体_GB2312" w:cs="Times New Roman"/>
          <w:szCs w:val="32"/>
        </w:rPr>
        <w:fldChar w:fldCharType="end"/>
      </w:r>
    </w:p>
    <w:p w14:paraId="3768C5DD">
      <w:pPr>
        <w:pStyle w:val="14"/>
        <w:tabs>
          <w:tab w:val="right" w:leader="dot" w:pos="8844"/>
        </w:tabs>
        <w:spacing w:line="560" w:lineRule="exact"/>
        <w:ind w:firstLine="640"/>
        <w:rPr>
          <w:rFonts w:eastAsia="楷体_GB2312" w:cs="Times New Roman"/>
          <w:szCs w:val="32"/>
        </w:rPr>
      </w:pPr>
      <w:r>
        <w:rPr>
          <w:rFonts w:eastAsia="楷体_GB2312"/>
        </w:rPr>
        <w:fldChar w:fldCharType="begin"/>
      </w:r>
      <w:r>
        <w:rPr>
          <w:rFonts w:eastAsia="楷体_GB2312"/>
        </w:rPr>
        <w:instrText xml:space="preserve"> HYPERLINK \l "_Toc29906" </w:instrText>
      </w:r>
      <w:r>
        <w:rPr>
          <w:rFonts w:eastAsia="楷体_GB2312"/>
        </w:rPr>
        <w:fldChar w:fldCharType="separate"/>
      </w:r>
      <w:r>
        <w:rPr>
          <w:rFonts w:eastAsia="楷体_GB2312" w:cs="Times New Roman"/>
          <w:szCs w:val="32"/>
        </w:rPr>
        <w:t>第三节  发展目标</w:t>
      </w:r>
      <w:r>
        <w:rPr>
          <w:rFonts w:eastAsia="楷体_GB2312" w:cs="Times New Roman"/>
          <w:szCs w:val="32"/>
        </w:rPr>
        <w:tab/>
      </w:r>
      <w:r>
        <w:rPr>
          <w:rFonts w:eastAsia="楷体_GB2312" w:cs="Times New Roman"/>
          <w:szCs w:val="32"/>
        </w:rPr>
        <w:fldChar w:fldCharType="begin"/>
      </w:r>
      <w:r>
        <w:rPr>
          <w:rFonts w:eastAsia="楷体_GB2312" w:cs="Times New Roman"/>
          <w:szCs w:val="32"/>
        </w:rPr>
        <w:instrText xml:space="preserve"> PAGEREF _Toc29906 \h </w:instrText>
      </w:r>
      <w:r>
        <w:rPr>
          <w:rFonts w:eastAsia="楷体_GB2312" w:cs="Times New Roman"/>
          <w:szCs w:val="32"/>
        </w:rPr>
        <w:fldChar w:fldCharType="separate"/>
      </w:r>
      <w:r>
        <w:rPr>
          <w:rFonts w:eastAsia="楷体_GB2312" w:cs="Times New Roman"/>
          <w:szCs w:val="32"/>
        </w:rPr>
        <w:t>14</w:t>
      </w:r>
      <w:r>
        <w:rPr>
          <w:rFonts w:eastAsia="楷体_GB2312" w:cs="Times New Roman"/>
          <w:szCs w:val="32"/>
        </w:rPr>
        <w:fldChar w:fldCharType="end"/>
      </w:r>
      <w:r>
        <w:rPr>
          <w:rFonts w:eastAsia="楷体_GB2312" w:cs="Times New Roman"/>
          <w:szCs w:val="32"/>
        </w:rPr>
        <w:fldChar w:fldCharType="end"/>
      </w:r>
    </w:p>
    <w:p w14:paraId="497B8753">
      <w:pPr>
        <w:pStyle w:val="11"/>
        <w:tabs>
          <w:tab w:val="right" w:leader="dot" w:pos="8844"/>
        </w:tabs>
        <w:spacing w:line="560" w:lineRule="exact"/>
        <w:rPr>
          <w:rFonts w:eastAsia="黑体" w:cs="Times New Roman"/>
          <w:sz w:val="32"/>
          <w:szCs w:val="32"/>
        </w:rPr>
      </w:pPr>
      <w:r>
        <w:rPr>
          <w:rFonts w:eastAsia="黑体"/>
        </w:rPr>
        <w:fldChar w:fldCharType="begin"/>
      </w:r>
      <w:r>
        <w:rPr>
          <w:rFonts w:eastAsia="黑体"/>
        </w:rPr>
        <w:instrText xml:space="preserve"> HYPERLINK \l "_Toc15589" </w:instrText>
      </w:r>
      <w:r>
        <w:rPr>
          <w:rFonts w:eastAsia="黑体"/>
        </w:rPr>
        <w:fldChar w:fldCharType="separate"/>
      </w:r>
      <w:r>
        <w:rPr>
          <w:rFonts w:eastAsia="黑体" w:cs="Times New Roman"/>
          <w:sz w:val="32"/>
          <w:szCs w:val="32"/>
        </w:rPr>
        <w:t>第三章  聚力强链补链强基提质  构筑产业发展新优势</w:t>
      </w:r>
      <w:r>
        <w:rPr>
          <w:rFonts w:eastAsia="黑体" w:cs="Times New Roman"/>
          <w:sz w:val="32"/>
          <w:szCs w:val="32"/>
        </w:rPr>
        <w:tab/>
      </w:r>
      <w:r>
        <w:rPr>
          <w:rFonts w:eastAsia="黑体" w:cs="Times New Roman"/>
          <w:sz w:val="32"/>
          <w:szCs w:val="32"/>
        </w:rPr>
        <w:fldChar w:fldCharType="begin"/>
      </w:r>
      <w:r>
        <w:rPr>
          <w:rFonts w:eastAsia="黑体" w:cs="Times New Roman"/>
          <w:sz w:val="32"/>
          <w:szCs w:val="32"/>
        </w:rPr>
        <w:instrText xml:space="preserve"> PAGEREF _Toc15589 \h </w:instrText>
      </w:r>
      <w:r>
        <w:rPr>
          <w:rFonts w:eastAsia="黑体" w:cs="Times New Roman"/>
          <w:sz w:val="32"/>
          <w:szCs w:val="32"/>
        </w:rPr>
        <w:fldChar w:fldCharType="separate"/>
      </w:r>
      <w:r>
        <w:rPr>
          <w:rFonts w:eastAsia="黑体" w:cs="Times New Roman"/>
          <w:sz w:val="32"/>
          <w:szCs w:val="32"/>
        </w:rPr>
        <w:t>19</w:t>
      </w:r>
      <w:r>
        <w:rPr>
          <w:rFonts w:eastAsia="黑体" w:cs="Times New Roman"/>
          <w:sz w:val="32"/>
          <w:szCs w:val="32"/>
        </w:rPr>
        <w:fldChar w:fldCharType="end"/>
      </w:r>
      <w:r>
        <w:rPr>
          <w:rFonts w:eastAsia="黑体" w:cs="Times New Roman"/>
          <w:sz w:val="32"/>
          <w:szCs w:val="32"/>
        </w:rPr>
        <w:fldChar w:fldCharType="end"/>
      </w:r>
    </w:p>
    <w:p w14:paraId="23036567">
      <w:pPr>
        <w:pStyle w:val="14"/>
        <w:tabs>
          <w:tab w:val="right" w:leader="dot" w:pos="8844"/>
        </w:tabs>
        <w:spacing w:line="560" w:lineRule="exact"/>
        <w:ind w:firstLine="640"/>
        <w:rPr>
          <w:rFonts w:eastAsia="楷体_GB2312" w:cs="Times New Roman"/>
          <w:szCs w:val="32"/>
        </w:rPr>
      </w:pPr>
      <w:r>
        <w:rPr>
          <w:rFonts w:eastAsia="楷体_GB2312"/>
        </w:rPr>
        <w:fldChar w:fldCharType="begin"/>
      </w:r>
      <w:r>
        <w:rPr>
          <w:rFonts w:eastAsia="楷体_GB2312"/>
        </w:rPr>
        <w:instrText xml:space="preserve"> HYPERLINK \l "_Toc23544" </w:instrText>
      </w:r>
      <w:r>
        <w:rPr>
          <w:rFonts w:eastAsia="楷体_GB2312"/>
        </w:rPr>
        <w:fldChar w:fldCharType="separate"/>
      </w:r>
      <w:r>
        <w:rPr>
          <w:rFonts w:eastAsia="楷体_GB2312" w:cs="Times New Roman"/>
          <w:szCs w:val="32"/>
        </w:rPr>
        <w:t>第一节  壮大</w:t>
      </w:r>
      <w:r>
        <w:rPr>
          <w:rFonts w:eastAsia="方正仿宋_GBK" w:cs="Times New Roman"/>
          <w:szCs w:val="32"/>
        </w:rPr>
        <w:t>“</w:t>
      </w:r>
      <w:r>
        <w:rPr>
          <w:rFonts w:eastAsia="楷体_GB2312" w:cs="Times New Roman"/>
          <w:szCs w:val="32"/>
        </w:rPr>
        <w:t>5+2+X</w:t>
      </w:r>
      <w:r>
        <w:rPr>
          <w:rFonts w:eastAsia="方正仿宋_GBK" w:cs="Times New Roman"/>
          <w:szCs w:val="32"/>
        </w:rPr>
        <w:t>”</w:t>
      </w:r>
      <w:r>
        <w:rPr>
          <w:rFonts w:eastAsia="楷体_GB2312" w:cs="Times New Roman"/>
          <w:szCs w:val="32"/>
        </w:rPr>
        <w:t>制造业集群</w:t>
      </w:r>
      <w:r>
        <w:rPr>
          <w:rFonts w:eastAsia="楷体_GB2312" w:cs="Times New Roman"/>
          <w:szCs w:val="32"/>
        </w:rPr>
        <w:tab/>
      </w:r>
      <w:r>
        <w:rPr>
          <w:rFonts w:eastAsia="楷体_GB2312" w:cs="Times New Roman"/>
          <w:szCs w:val="32"/>
        </w:rPr>
        <w:fldChar w:fldCharType="begin"/>
      </w:r>
      <w:r>
        <w:rPr>
          <w:rFonts w:eastAsia="楷体_GB2312" w:cs="Times New Roman"/>
          <w:szCs w:val="32"/>
        </w:rPr>
        <w:instrText xml:space="preserve"> PAGEREF _Toc23544 \h </w:instrText>
      </w:r>
      <w:r>
        <w:rPr>
          <w:rFonts w:eastAsia="楷体_GB2312" w:cs="Times New Roman"/>
          <w:szCs w:val="32"/>
        </w:rPr>
        <w:fldChar w:fldCharType="separate"/>
      </w:r>
      <w:r>
        <w:rPr>
          <w:rFonts w:eastAsia="楷体_GB2312" w:cs="Times New Roman"/>
          <w:szCs w:val="32"/>
        </w:rPr>
        <w:t>19</w:t>
      </w:r>
      <w:r>
        <w:rPr>
          <w:rFonts w:eastAsia="楷体_GB2312" w:cs="Times New Roman"/>
          <w:szCs w:val="32"/>
        </w:rPr>
        <w:fldChar w:fldCharType="end"/>
      </w:r>
      <w:r>
        <w:rPr>
          <w:rFonts w:eastAsia="楷体_GB2312" w:cs="Times New Roman"/>
          <w:szCs w:val="32"/>
        </w:rPr>
        <w:fldChar w:fldCharType="end"/>
      </w:r>
    </w:p>
    <w:p w14:paraId="5455E99F">
      <w:pPr>
        <w:pStyle w:val="14"/>
        <w:tabs>
          <w:tab w:val="right" w:leader="dot" w:pos="8844"/>
        </w:tabs>
        <w:spacing w:line="560" w:lineRule="exact"/>
        <w:ind w:firstLine="640"/>
        <w:rPr>
          <w:rFonts w:eastAsia="楷体_GB2312" w:cs="Times New Roman"/>
          <w:szCs w:val="32"/>
        </w:rPr>
      </w:pPr>
      <w:r>
        <w:rPr>
          <w:rFonts w:eastAsia="楷体_GB2312"/>
        </w:rPr>
        <w:fldChar w:fldCharType="begin"/>
      </w:r>
      <w:r>
        <w:rPr>
          <w:rFonts w:eastAsia="楷体_GB2312"/>
        </w:rPr>
        <w:instrText xml:space="preserve"> HYPERLINK \l "_Toc11334" </w:instrText>
      </w:r>
      <w:r>
        <w:rPr>
          <w:rFonts w:eastAsia="楷体_GB2312"/>
        </w:rPr>
        <w:fldChar w:fldCharType="separate"/>
      </w:r>
      <w:r>
        <w:rPr>
          <w:rFonts w:eastAsia="楷体_GB2312" w:cs="Times New Roman"/>
          <w:szCs w:val="32"/>
        </w:rPr>
        <w:t>第二节  强化生产性服务业融合赋能</w:t>
      </w:r>
      <w:r>
        <w:rPr>
          <w:rFonts w:eastAsia="楷体_GB2312" w:cs="Times New Roman"/>
          <w:szCs w:val="32"/>
        </w:rPr>
        <w:tab/>
      </w:r>
      <w:r>
        <w:rPr>
          <w:rFonts w:eastAsia="楷体_GB2312" w:cs="Times New Roman"/>
          <w:szCs w:val="32"/>
        </w:rPr>
        <w:fldChar w:fldCharType="begin"/>
      </w:r>
      <w:r>
        <w:rPr>
          <w:rFonts w:eastAsia="楷体_GB2312" w:cs="Times New Roman"/>
          <w:szCs w:val="32"/>
        </w:rPr>
        <w:instrText xml:space="preserve"> PAGEREF _Toc11334 \h </w:instrText>
      </w:r>
      <w:r>
        <w:rPr>
          <w:rFonts w:eastAsia="楷体_GB2312" w:cs="Times New Roman"/>
          <w:szCs w:val="32"/>
        </w:rPr>
        <w:fldChar w:fldCharType="separate"/>
      </w:r>
      <w:r>
        <w:rPr>
          <w:rFonts w:eastAsia="楷体_GB2312" w:cs="Times New Roman"/>
          <w:szCs w:val="32"/>
        </w:rPr>
        <w:t>22</w:t>
      </w:r>
      <w:r>
        <w:rPr>
          <w:rFonts w:eastAsia="楷体_GB2312" w:cs="Times New Roman"/>
          <w:szCs w:val="32"/>
        </w:rPr>
        <w:fldChar w:fldCharType="end"/>
      </w:r>
      <w:r>
        <w:rPr>
          <w:rFonts w:eastAsia="楷体_GB2312" w:cs="Times New Roman"/>
          <w:szCs w:val="32"/>
        </w:rPr>
        <w:fldChar w:fldCharType="end"/>
      </w:r>
    </w:p>
    <w:p w14:paraId="7EF0645B">
      <w:pPr>
        <w:pStyle w:val="14"/>
        <w:tabs>
          <w:tab w:val="right" w:leader="dot" w:pos="8844"/>
        </w:tabs>
        <w:spacing w:line="560" w:lineRule="exact"/>
        <w:ind w:firstLine="640"/>
        <w:rPr>
          <w:rFonts w:eastAsia="楷体_GB2312" w:cs="Times New Roman"/>
          <w:szCs w:val="32"/>
        </w:rPr>
      </w:pPr>
      <w:r>
        <w:rPr>
          <w:rFonts w:eastAsia="楷体_GB2312"/>
        </w:rPr>
        <w:fldChar w:fldCharType="begin"/>
      </w:r>
      <w:r>
        <w:rPr>
          <w:rFonts w:eastAsia="楷体_GB2312"/>
        </w:rPr>
        <w:instrText xml:space="preserve"> HYPERLINK \l "_Toc14458" </w:instrText>
      </w:r>
      <w:r>
        <w:rPr>
          <w:rFonts w:eastAsia="楷体_GB2312"/>
        </w:rPr>
        <w:fldChar w:fldCharType="separate"/>
      </w:r>
      <w:r>
        <w:rPr>
          <w:rFonts w:eastAsia="楷体_GB2312" w:cs="Times New Roman"/>
          <w:szCs w:val="32"/>
        </w:rPr>
        <w:t>第三节  推动“海门建筑”转型发展</w:t>
      </w:r>
      <w:r>
        <w:rPr>
          <w:rFonts w:eastAsia="楷体_GB2312" w:cs="Times New Roman"/>
          <w:szCs w:val="32"/>
        </w:rPr>
        <w:tab/>
      </w:r>
      <w:r>
        <w:rPr>
          <w:rFonts w:eastAsia="楷体_GB2312" w:cs="Times New Roman"/>
          <w:szCs w:val="32"/>
        </w:rPr>
        <w:fldChar w:fldCharType="begin"/>
      </w:r>
      <w:r>
        <w:rPr>
          <w:rFonts w:eastAsia="楷体_GB2312" w:cs="Times New Roman"/>
          <w:szCs w:val="32"/>
        </w:rPr>
        <w:instrText xml:space="preserve"> PAGEREF _Toc14458 \h </w:instrText>
      </w:r>
      <w:r>
        <w:rPr>
          <w:rFonts w:eastAsia="楷体_GB2312" w:cs="Times New Roman"/>
          <w:szCs w:val="32"/>
        </w:rPr>
        <w:fldChar w:fldCharType="separate"/>
      </w:r>
      <w:r>
        <w:rPr>
          <w:rFonts w:eastAsia="楷体_GB2312" w:cs="Times New Roman"/>
          <w:szCs w:val="32"/>
        </w:rPr>
        <w:t>24</w:t>
      </w:r>
      <w:r>
        <w:rPr>
          <w:rFonts w:eastAsia="楷体_GB2312" w:cs="Times New Roman"/>
          <w:szCs w:val="32"/>
        </w:rPr>
        <w:fldChar w:fldCharType="end"/>
      </w:r>
      <w:r>
        <w:rPr>
          <w:rFonts w:eastAsia="楷体_GB2312" w:cs="Times New Roman"/>
          <w:szCs w:val="32"/>
        </w:rPr>
        <w:fldChar w:fldCharType="end"/>
      </w:r>
    </w:p>
    <w:p w14:paraId="6746F0F7">
      <w:pPr>
        <w:pStyle w:val="14"/>
        <w:tabs>
          <w:tab w:val="right" w:leader="dot" w:pos="8844"/>
        </w:tabs>
        <w:spacing w:line="560" w:lineRule="exact"/>
        <w:ind w:firstLine="640"/>
        <w:rPr>
          <w:rFonts w:eastAsia="楷体_GB2312" w:cs="Times New Roman"/>
          <w:szCs w:val="32"/>
        </w:rPr>
      </w:pPr>
      <w:r>
        <w:rPr>
          <w:rFonts w:eastAsia="楷体_GB2312"/>
        </w:rPr>
        <w:fldChar w:fldCharType="begin"/>
      </w:r>
      <w:r>
        <w:rPr>
          <w:rFonts w:eastAsia="楷体_GB2312"/>
        </w:rPr>
        <w:instrText xml:space="preserve"> HYPERLINK \l "_Toc19314" </w:instrText>
      </w:r>
      <w:r>
        <w:rPr>
          <w:rFonts w:eastAsia="楷体_GB2312"/>
        </w:rPr>
        <w:fldChar w:fldCharType="separate"/>
      </w:r>
      <w:r>
        <w:rPr>
          <w:rFonts w:eastAsia="楷体_GB2312" w:cs="Times New Roman"/>
          <w:szCs w:val="32"/>
        </w:rPr>
        <w:t>第四节  强化平台载体关键主阵地功能</w:t>
      </w:r>
      <w:r>
        <w:rPr>
          <w:rFonts w:eastAsia="楷体_GB2312" w:cs="Times New Roman"/>
          <w:szCs w:val="32"/>
        </w:rPr>
        <w:tab/>
      </w:r>
      <w:r>
        <w:rPr>
          <w:rFonts w:eastAsia="楷体_GB2312" w:cs="Times New Roman"/>
          <w:szCs w:val="32"/>
        </w:rPr>
        <w:fldChar w:fldCharType="begin"/>
      </w:r>
      <w:r>
        <w:rPr>
          <w:rFonts w:eastAsia="楷体_GB2312" w:cs="Times New Roman"/>
          <w:szCs w:val="32"/>
        </w:rPr>
        <w:instrText xml:space="preserve"> PAGEREF _Toc19314 \h </w:instrText>
      </w:r>
      <w:r>
        <w:rPr>
          <w:rFonts w:eastAsia="楷体_GB2312" w:cs="Times New Roman"/>
          <w:szCs w:val="32"/>
        </w:rPr>
        <w:fldChar w:fldCharType="separate"/>
      </w:r>
      <w:r>
        <w:rPr>
          <w:rFonts w:eastAsia="楷体_GB2312" w:cs="Times New Roman"/>
          <w:szCs w:val="32"/>
        </w:rPr>
        <w:t>25</w:t>
      </w:r>
      <w:r>
        <w:rPr>
          <w:rFonts w:eastAsia="楷体_GB2312" w:cs="Times New Roman"/>
          <w:szCs w:val="32"/>
        </w:rPr>
        <w:fldChar w:fldCharType="end"/>
      </w:r>
      <w:r>
        <w:rPr>
          <w:rFonts w:eastAsia="楷体_GB2312" w:cs="Times New Roman"/>
          <w:szCs w:val="32"/>
        </w:rPr>
        <w:fldChar w:fldCharType="end"/>
      </w:r>
    </w:p>
    <w:p w14:paraId="279721F4">
      <w:pPr>
        <w:pStyle w:val="14"/>
        <w:tabs>
          <w:tab w:val="right" w:leader="dot" w:pos="8844"/>
        </w:tabs>
        <w:spacing w:line="560" w:lineRule="exact"/>
        <w:ind w:firstLine="640"/>
        <w:rPr>
          <w:rFonts w:eastAsia="楷体_GB2312" w:cs="Times New Roman"/>
          <w:szCs w:val="32"/>
        </w:rPr>
      </w:pPr>
      <w:r>
        <w:rPr>
          <w:rFonts w:eastAsia="楷体_GB2312"/>
        </w:rPr>
        <w:fldChar w:fldCharType="begin"/>
      </w:r>
      <w:r>
        <w:rPr>
          <w:rFonts w:eastAsia="楷体_GB2312"/>
        </w:rPr>
        <w:instrText xml:space="preserve"> HYPERLINK \l "_Toc7938" </w:instrText>
      </w:r>
      <w:r>
        <w:rPr>
          <w:rFonts w:eastAsia="楷体_GB2312"/>
        </w:rPr>
        <w:fldChar w:fldCharType="separate"/>
      </w:r>
      <w:r>
        <w:rPr>
          <w:rFonts w:eastAsia="楷体_GB2312" w:cs="Times New Roman"/>
          <w:szCs w:val="32"/>
        </w:rPr>
        <w:t>第五节  优化产业发展路径</w:t>
      </w:r>
      <w:r>
        <w:rPr>
          <w:rFonts w:eastAsia="楷体_GB2312" w:cs="Times New Roman"/>
          <w:szCs w:val="32"/>
        </w:rPr>
        <w:tab/>
      </w:r>
      <w:r>
        <w:rPr>
          <w:rFonts w:eastAsia="楷体_GB2312" w:cs="Times New Roman"/>
          <w:szCs w:val="32"/>
        </w:rPr>
        <w:fldChar w:fldCharType="begin"/>
      </w:r>
      <w:r>
        <w:rPr>
          <w:rFonts w:eastAsia="楷体_GB2312" w:cs="Times New Roman"/>
          <w:szCs w:val="32"/>
        </w:rPr>
        <w:instrText xml:space="preserve"> PAGEREF _Toc7938 \h </w:instrText>
      </w:r>
      <w:r>
        <w:rPr>
          <w:rFonts w:eastAsia="楷体_GB2312" w:cs="Times New Roman"/>
          <w:szCs w:val="32"/>
        </w:rPr>
        <w:fldChar w:fldCharType="separate"/>
      </w:r>
      <w:r>
        <w:rPr>
          <w:rFonts w:eastAsia="楷体_GB2312" w:cs="Times New Roman"/>
          <w:szCs w:val="32"/>
        </w:rPr>
        <w:t>28</w:t>
      </w:r>
      <w:r>
        <w:rPr>
          <w:rFonts w:eastAsia="楷体_GB2312" w:cs="Times New Roman"/>
          <w:szCs w:val="32"/>
        </w:rPr>
        <w:fldChar w:fldCharType="end"/>
      </w:r>
      <w:r>
        <w:rPr>
          <w:rFonts w:eastAsia="楷体_GB2312" w:cs="Times New Roman"/>
          <w:szCs w:val="32"/>
        </w:rPr>
        <w:fldChar w:fldCharType="end"/>
      </w:r>
    </w:p>
    <w:p w14:paraId="6BFE4888">
      <w:pPr>
        <w:pStyle w:val="11"/>
        <w:tabs>
          <w:tab w:val="right" w:leader="dot" w:pos="8844"/>
        </w:tabs>
        <w:spacing w:line="560" w:lineRule="exact"/>
        <w:rPr>
          <w:rFonts w:eastAsia="黑体" w:cs="Times New Roman"/>
          <w:sz w:val="32"/>
          <w:szCs w:val="32"/>
        </w:rPr>
      </w:pPr>
      <w:r>
        <w:rPr>
          <w:rFonts w:eastAsia="黑体"/>
        </w:rPr>
        <w:fldChar w:fldCharType="begin"/>
      </w:r>
      <w:r>
        <w:rPr>
          <w:rFonts w:eastAsia="黑体"/>
        </w:rPr>
        <w:instrText xml:space="preserve"> HYPERLINK \l "_Toc9565" </w:instrText>
      </w:r>
      <w:r>
        <w:rPr>
          <w:rFonts w:eastAsia="黑体"/>
        </w:rPr>
        <w:fldChar w:fldCharType="separate"/>
      </w:r>
      <w:r>
        <w:rPr>
          <w:rFonts w:eastAsia="黑体" w:cs="Times New Roman"/>
          <w:spacing w:val="-11"/>
          <w:sz w:val="32"/>
          <w:szCs w:val="32"/>
        </w:rPr>
        <w:t xml:space="preserve">第四章  </w:t>
      </w:r>
      <w:r>
        <w:rPr>
          <w:rFonts w:eastAsia="黑体" w:cs="Times New Roman"/>
          <w:sz w:val="32"/>
          <w:szCs w:val="32"/>
        </w:rPr>
        <w:t>以科技创新引领新质生产力发展，加快建设现代化科技强区</w:t>
      </w:r>
      <w:r>
        <w:rPr>
          <w:rFonts w:eastAsia="黑体" w:cs="Times New Roman"/>
          <w:sz w:val="32"/>
          <w:szCs w:val="32"/>
        </w:rPr>
        <w:tab/>
      </w:r>
      <w:r>
        <w:rPr>
          <w:rFonts w:eastAsia="黑体" w:cs="Times New Roman"/>
          <w:sz w:val="32"/>
          <w:szCs w:val="32"/>
        </w:rPr>
        <w:fldChar w:fldCharType="begin"/>
      </w:r>
      <w:r>
        <w:rPr>
          <w:rFonts w:eastAsia="黑体" w:cs="Times New Roman"/>
          <w:sz w:val="32"/>
          <w:szCs w:val="32"/>
        </w:rPr>
        <w:instrText xml:space="preserve"> PAGEREF _Toc9565 \h </w:instrText>
      </w:r>
      <w:r>
        <w:rPr>
          <w:rFonts w:eastAsia="黑体" w:cs="Times New Roman"/>
          <w:sz w:val="32"/>
          <w:szCs w:val="32"/>
        </w:rPr>
        <w:fldChar w:fldCharType="separate"/>
      </w:r>
      <w:r>
        <w:rPr>
          <w:rFonts w:eastAsia="黑体" w:cs="Times New Roman"/>
          <w:sz w:val="32"/>
          <w:szCs w:val="32"/>
        </w:rPr>
        <w:t>31</w:t>
      </w:r>
      <w:r>
        <w:rPr>
          <w:rFonts w:eastAsia="黑体" w:cs="Times New Roman"/>
          <w:sz w:val="32"/>
          <w:szCs w:val="32"/>
        </w:rPr>
        <w:fldChar w:fldCharType="end"/>
      </w:r>
      <w:r>
        <w:rPr>
          <w:rFonts w:eastAsia="黑体" w:cs="Times New Roman"/>
          <w:sz w:val="32"/>
          <w:szCs w:val="32"/>
        </w:rPr>
        <w:fldChar w:fldCharType="end"/>
      </w:r>
    </w:p>
    <w:p w14:paraId="153180C5">
      <w:pPr>
        <w:pStyle w:val="14"/>
        <w:tabs>
          <w:tab w:val="right" w:leader="dot" w:pos="8844"/>
        </w:tabs>
        <w:spacing w:line="560" w:lineRule="exact"/>
        <w:ind w:firstLine="640"/>
        <w:rPr>
          <w:rFonts w:eastAsia="楷体_GB2312" w:cs="Times New Roman"/>
          <w:szCs w:val="32"/>
        </w:rPr>
      </w:pPr>
      <w:r>
        <w:rPr>
          <w:rFonts w:eastAsia="楷体_GB2312"/>
        </w:rPr>
        <w:fldChar w:fldCharType="begin"/>
      </w:r>
      <w:r>
        <w:rPr>
          <w:rFonts w:eastAsia="楷体_GB2312"/>
        </w:rPr>
        <w:instrText xml:space="preserve"> HYPERLINK \l "_Toc23513" </w:instrText>
      </w:r>
      <w:r>
        <w:rPr>
          <w:rFonts w:eastAsia="楷体_GB2312"/>
        </w:rPr>
        <w:fldChar w:fldCharType="separate"/>
      </w:r>
      <w:r>
        <w:rPr>
          <w:rFonts w:eastAsia="楷体_GB2312" w:cs="Times New Roman"/>
          <w:szCs w:val="32"/>
        </w:rPr>
        <w:t>第一节  强化创新主体培育</w:t>
      </w:r>
      <w:r>
        <w:rPr>
          <w:rFonts w:eastAsia="楷体_GB2312" w:cs="Times New Roman"/>
          <w:szCs w:val="32"/>
        </w:rPr>
        <w:tab/>
      </w:r>
      <w:r>
        <w:rPr>
          <w:rFonts w:eastAsia="楷体_GB2312" w:cs="Times New Roman"/>
          <w:szCs w:val="32"/>
        </w:rPr>
        <w:fldChar w:fldCharType="begin"/>
      </w:r>
      <w:r>
        <w:rPr>
          <w:rFonts w:eastAsia="楷体_GB2312" w:cs="Times New Roman"/>
          <w:szCs w:val="32"/>
        </w:rPr>
        <w:instrText xml:space="preserve"> PAGEREF _Toc23513 \h </w:instrText>
      </w:r>
      <w:r>
        <w:rPr>
          <w:rFonts w:eastAsia="楷体_GB2312" w:cs="Times New Roman"/>
          <w:szCs w:val="32"/>
        </w:rPr>
        <w:fldChar w:fldCharType="separate"/>
      </w:r>
      <w:r>
        <w:rPr>
          <w:rFonts w:eastAsia="楷体_GB2312" w:cs="Times New Roman"/>
          <w:szCs w:val="32"/>
        </w:rPr>
        <w:t>31</w:t>
      </w:r>
      <w:r>
        <w:rPr>
          <w:rFonts w:eastAsia="楷体_GB2312" w:cs="Times New Roman"/>
          <w:szCs w:val="32"/>
        </w:rPr>
        <w:fldChar w:fldCharType="end"/>
      </w:r>
      <w:r>
        <w:rPr>
          <w:rFonts w:eastAsia="楷体_GB2312" w:cs="Times New Roman"/>
          <w:szCs w:val="32"/>
        </w:rPr>
        <w:fldChar w:fldCharType="end"/>
      </w:r>
    </w:p>
    <w:p w14:paraId="2725C6AE">
      <w:pPr>
        <w:pStyle w:val="14"/>
        <w:tabs>
          <w:tab w:val="right" w:leader="dot" w:pos="8844"/>
        </w:tabs>
        <w:spacing w:line="560" w:lineRule="exact"/>
        <w:ind w:firstLine="640"/>
        <w:rPr>
          <w:rFonts w:eastAsia="楷体_GB2312" w:cs="Times New Roman"/>
          <w:szCs w:val="32"/>
        </w:rPr>
      </w:pPr>
      <w:r>
        <w:rPr>
          <w:rFonts w:eastAsia="楷体_GB2312"/>
        </w:rPr>
        <w:fldChar w:fldCharType="begin"/>
      </w:r>
      <w:r>
        <w:rPr>
          <w:rFonts w:eastAsia="楷体_GB2312"/>
        </w:rPr>
        <w:instrText xml:space="preserve"> HYPERLINK \l "_Toc13739" </w:instrText>
      </w:r>
      <w:r>
        <w:rPr>
          <w:rFonts w:eastAsia="楷体_GB2312"/>
        </w:rPr>
        <w:fldChar w:fldCharType="separate"/>
      </w:r>
      <w:r>
        <w:rPr>
          <w:rFonts w:eastAsia="楷体_GB2312" w:cs="Times New Roman"/>
          <w:szCs w:val="32"/>
        </w:rPr>
        <w:t>第二节  筑强高能级科创平台矩阵</w:t>
      </w:r>
      <w:r>
        <w:rPr>
          <w:rFonts w:eastAsia="楷体_GB2312" w:cs="Times New Roman"/>
          <w:szCs w:val="32"/>
        </w:rPr>
        <w:tab/>
      </w:r>
      <w:r>
        <w:rPr>
          <w:rFonts w:eastAsia="楷体_GB2312" w:cs="Times New Roman"/>
          <w:szCs w:val="32"/>
        </w:rPr>
        <w:fldChar w:fldCharType="begin"/>
      </w:r>
      <w:r>
        <w:rPr>
          <w:rFonts w:eastAsia="楷体_GB2312" w:cs="Times New Roman"/>
          <w:szCs w:val="32"/>
        </w:rPr>
        <w:instrText xml:space="preserve"> PAGEREF _Toc13739 \h </w:instrText>
      </w:r>
      <w:r>
        <w:rPr>
          <w:rFonts w:eastAsia="楷体_GB2312" w:cs="Times New Roman"/>
          <w:szCs w:val="32"/>
        </w:rPr>
        <w:fldChar w:fldCharType="separate"/>
      </w:r>
      <w:r>
        <w:rPr>
          <w:rFonts w:eastAsia="楷体_GB2312" w:cs="Times New Roman"/>
          <w:szCs w:val="32"/>
        </w:rPr>
        <w:t>32</w:t>
      </w:r>
      <w:r>
        <w:rPr>
          <w:rFonts w:eastAsia="楷体_GB2312" w:cs="Times New Roman"/>
          <w:szCs w:val="32"/>
        </w:rPr>
        <w:fldChar w:fldCharType="end"/>
      </w:r>
      <w:r>
        <w:rPr>
          <w:rFonts w:eastAsia="楷体_GB2312" w:cs="Times New Roman"/>
          <w:szCs w:val="32"/>
        </w:rPr>
        <w:fldChar w:fldCharType="end"/>
      </w:r>
    </w:p>
    <w:p w14:paraId="6F43D521">
      <w:pPr>
        <w:pStyle w:val="14"/>
        <w:tabs>
          <w:tab w:val="right" w:leader="dot" w:pos="8844"/>
        </w:tabs>
        <w:spacing w:line="560" w:lineRule="exact"/>
        <w:ind w:firstLine="640"/>
        <w:rPr>
          <w:rFonts w:eastAsia="楷体_GB2312" w:cs="Times New Roman"/>
          <w:szCs w:val="32"/>
        </w:rPr>
      </w:pPr>
      <w:r>
        <w:rPr>
          <w:rFonts w:eastAsia="楷体_GB2312"/>
        </w:rPr>
        <w:fldChar w:fldCharType="begin"/>
      </w:r>
      <w:r>
        <w:rPr>
          <w:rFonts w:eastAsia="楷体_GB2312"/>
        </w:rPr>
        <w:instrText xml:space="preserve"> HYPERLINK \l "_Toc25232" </w:instrText>
      </w:r>
      <w:r>
        <w:rPr>
          <w:rFonts w:eastAsia="楷体_GB2312"/>
        </w:rPr>
        <w:fldChar w:fldCharType="separate"/>
      </w:r>
      <w:r>
        <w:rPr>
          <w:rFonts w:eastAsia="楷体_GB2312" w:cs="Times New Roman"/>
          <w:szCs w:val="32"/>
        </w:rPr>
        <w:t>第三节  畅通贯通式科技成果转化体系</w:t>
      </w:r>
      <w:r>
        <w:rPr>
          <w:rFonts w:eastAsia="楷体_GB2312" w:cs="Times New Roman"/>
          <w:szCs w:val="32"/>
        </w:rPr>
        <w:tab/>
      </w:r>
      <w:r>
        <w:rPr>
          <w:rFonts w:eastAsia="楷体_GB2312" w:cs="Times New Roman"/>
          <w:szCs w:val="32"/>
        </w:rPr>
        <w:fldChar w:fldCharType="begin"/>
      </w:r>
      <w:r>
        <w:rPr>
          <w:rFonts w:eastAsia="楷体_GB2312" w:cs="Times New Roman"/>
          <w:szCs w:val="32"/>
        </w:rPr>
        <w:instrText xml:space="preserve"> PAGEREF _Toc25232 \h </w:instrText>
      </w:r>
      <w:r>
        <w:rPr>
          <w:rFonts w:eastAsia="楷体_GB2312" w:cs="Times New Roman"/>
          <w:szCs w:val="32"/>
        </w:rPr>
        <w:fldChar w:fldCharType="separate"/>
      </w:r>
      <w:r>
        <w:rPr>
          <w:rFonts w:eastAsia="楷体_GB2312" w:cs="Times New Roman"/>
          <w:szCs w:val="32"/>
        </w:rPr>
        <w:t>33</w:t>
      </w:r>
      <w:r>
        <w:rPr>
          <w:rFonts w:eastAsia="楷体_GB2312" w:cs="Times New Roman"/>
          <w:szCs w:val="32"/>
        </w:rPr>
        <w:fldChar w:fldCharType="end"/>
      </w:r>
      <w:r>
        <w:rPr>
          <w:rFonts w:eastAsia="楷体_GB2312" w:cs="Times New Roman"/>
          <w:szCs w:val="32"/>
        </w:rPr>
        <w:fldChar w:fldCharType="end"/>
      </w:r>
    </w:p>
    <w:p w14:paraId="18543D9D">
      <w:pPr>
        <w:pStyle w:val="14"/>
        <w:tabs>
          <w:tab w:val="right" w:leader="dot" w:pos="8844"/>
        </w:tabs>
        <w:spacing w:line="560" w:lineRule="exact"/>
        <w:ind w:firstLine="640"/>
        <w:rPr>
          <w:rFonts w:eastAsia="楷体_GB2312" w:cs="Times New Roman"/>
          <w:szCs w:val="32"/>
        </w:rPr>
      </w:pPr>
      <w:r>
        <w:rPr>
          <w:rFonts w:eastAsia="楷体_GB2312"/>
        </w:rPr>
        <w:fldChar w:fldCharType="begin"/>
      </w:r>
      <w:r>
        <w:rPr>
          <w:rFonts w:eastAsia="楷体_GB2312"/>
        </w:rPr>
        <w:instrText xml:space="preserve"> HYPERLINK \l "_Toc22079" </w:instrText>
      </w:r>
      <w:r>
        <w:rPr>
          <w:rFonts w:eastAsia="楷体_GB2312"/>
        </w:rPr>
        <w:fldChar w:fldCharType="separate"/>
      </w:r>
      <w:r>
        <w:rPr>
          <w:rFonts w:eastAsia="楷体_GB2312" w:cs="Times New Roman"/>
          <w:szCs w:val="32"/>
        </w:rPr>
        <w:t>第四节  营造更具竞争力的创新生态</w:t>
      </w:r>
      <w:r>
        <w:rPr>
          <w:rFonts w:eastAsia="楷体_GB2312" w:cs="Times New Roman"/>
          <w:szCs w:val="32"/>
        </w:rPr>
        <w:tab/>
      </w:r>
      <w:r>
        <w:rPr>
          <w:rFonts w:eastAsia="楷体_GB2312" w:cs="Times New Roman"/>
          <w:szCs w:val="32"/>
        </w:rPr>
        <w:fldChar w:fldCharType="begin"/>
      </w:r>
      <w:r>
        <w:rPr>
          <w:rFonts w:eastAsia="楷体_GB2312" w:cs="Times New Roman"/>
          <w:szCs w:val="32"/>
        </w:rPr>
        <w:instrText xml:space="preserve"> PAGEREF _Toc22079 \h </w:instrText>
      </w:r>
      <w:r>
        <w:rPr>
          <w:rFonts w:eastAsia="楷体_GB2312" w:cs="Times New Roman"/>
          <w:szCs w:val="32"/>
        </w:rPr>
        <w:fldChar w:fldCharType="separate"/>
      </w:r>
      <w:r>
        <w:rPr>
          <w:rFonts w:eastAsia="楷体_GB2312" w:cs="Times New Roman"/>
          <w:szCs w:val="32"/>
        </w:rPr>
        <w:t>34</w:t>
      </w:r>
      <w:r>
        <w:rPr>
          <w:rFonts w:eastAsia="楷体_GB2312" w:cs="Times New Roman"/>
          <w:szCs w:val="32"/>
        </w:rPr>
        <w:fldChar w:fldCharType="end"/>
      </w:r>
      <w:r>
        <w:rPr>
          <w:rFonts w:eastAsia="楷体_GB2312" w:cs="Times New Roman"/>
          <w:szCs w:val="32"/>
        </w:rPr>
        <w:fldChar w:fldCharType="end"/>
      </w:r>
    </w:p>
    <w:p w14:paraId="72CC75CA">
      <w:pPr>
        <w:pStyle w:val="14"/>
        <w:tabs>
          <w:tab w:val="right" w:leader="dot" w:pos="8844"/>
        </w:tabs>
        <w:spacing w:line="560" w:lineRule="exact"/>
        <w:ind w:firstLine="640"/>
        <w:rPr>
          <w:rFonts w:eastAsia="楷体_GB2312" w:cs="Times New Roman"/>
          <w:szCs w:val="32"/>
        </w:rPr>
      </w:pPr>
      <w:r>
        <w:rPr>
          <w:rFonts w:eastAsia="楷体_GB2312"/>
        </w:rPr>
        <w:fldChar w:fldCharType="begin"/>
      </w:r>
      <w:r>
        <w:rPr>
          <w:rFonts w:eastAsia="楷体_GB2312"/>
        </w:rPr>
        <w:instrText xml:space="preserve"> HYPERLINK \l "_Toc20427" </w:instrText>
      </w:r>
      <w:r>
        <w:rPr>
          <w:rFonts w:eastAsia="楷体_GB2312"/>
        </w:rPr>
        <w:fldChar w:fldCharType="separate"/>
      </w:r>
      <w:r>
        <w:rPr>
          <w:rFonts w:eastAsia="楷体_GB2312" w:cs="Times New Roman"/>
          <w:szCs w:val="32"/>
        </w:rPr>
        <w:t>第五节  推进教育科技人才一体化发展</w:t>
      </w:r>
      <w:r>
        <w:rPr>
          <w:rFonts w:eastAsia="楷体_GB2312" w:cs="Times New Roman"/>
          <w:szCs w:val="32"/>
        </w:rPr>
        <w:tab/>
      </w:r>
      <w:r>
        <w:rPr>
          <w:rFonts w:eastAsia="楷体_GB2312" w:cs="Times New Roman"/>
          <w:szCs w:val="32"/>
        </w:rPr>
        <w:fldChar w:fldCharType="begin"/>
      </w:r>
      <w:r>
        <w:rPr>
          <w:rFonts w:eastAsia="楷体_GB2312" w:cs="Times New Roman"/>
          <w:szCs w:val="32"/>
        </w:rPr>
        <w:instrText xml:space="preserve"> PAGEREF _Toc20427 \h </w:instrText>
      </w:r>
      <w:r>
        <w:rPr>
          <w:rFonts w:eastAsia="楷体_GB2312" w:cs="Times New Roman"/>
          <w:szCs w:val="32"/>
        </w:rPr>
        <w:fldChar w:fldCharType="separate"/>
      </w:r>
      <w:r>
        <w:rPr>
          <w:rFonts w:eastAsia="楷体_GB2312" w:cs="Times New Roman"/>
          <w:szCs w:val="32"/>
        </w:rPr>
        <w:t>35</w:t>
      </w:r>
      <w:r>
        <w:rPr>
          <w:rFonts w:eastAsia="楷体_GB2312" w:cs="Times New Roman"/>
          <w:szCs w:val="32"/>
        </w:rPr>
        <w:fldChar w:fldCharType="end"/>
      </w:r>
      <w:r>
        <w:rPr>
          <w:rFonts w:eastAsia="楷体_GB2312" w:cs="Times New Roman"/>
          <w:szCs w:val="32"/>
        </w:rPr>
        <w:fldChar w:fldCharType="end"/>
      </w:r>
    </w:p>
    <w:p w14:paraId="28CFCAB5">
      <w:pPr>
        <w:pStyle w:val="11"/>
        <w:tabs>
          <w:tab w:val="right" w:leader="dot" w:pos="8844"/>
        </w:tabs>
        <w:spacing w:line="560" w:lineRule="exact"/>
        <w:rPr>
          <w:rFonts w:eastAsia="黑体" w:cs="Times New Roman"/>
          <w:sz w:val="32"/>
          <w:szCs w:val="32"/>
        </w:rPr>
      </w:pPr>
      <w:r>
        <w:rPr>
          <w:rFonts w:eastAsia="黑体"/>
        </w:rPr>
        <w:fldChar w:fldCharType="begin"/>
      </w:r>
      <w:r>
        <w:rPr>
          <w:rFonts w:eastAsia="黑体"/>
        </w:rPr>
        <w:instrText xml:space="preserve"> HYPERLINK \l "_Toc23118" </w:instrText>
      </w:r>
      <w:r>
        <w:rPr>
          <w:rFonts w:eastAsia="黑体"/>
        </w:rPr>
        <w:fldChar w:fldCharType="separate"/>
      </w:r>
      <w:r>
        <w:rPr>
          <w:rFonts w:eastAsia="黑体" w:cs="Times New Roman"/>
          <w:sz w:val="32"/>
          <w:szCs w:val="32"/>
        </w:rPr>
        <w:t>第五章  突出跨江融合向海图强  塑造江强海兴发展新格局</w:t>
      </w:r>
      <w:r>
        <w:rPr>
          <w:rFonts w:eastAsia="黑体" w:cs="Times New Roman"/>
          <w:sz w:val="32"/>
          <w:szCs w:val="32"/>
        </w:rPr>
        <w:tab/>
      </w:r>
      <w:r>
        <w:rPr>
          <w:rFonts w:eastAsia="黑体" w:cs="Times New Roman"/>
          <w:sz w:val="32"/>
          <w:szCs w:val="32"/>
        </w:rPr>
        <w:fldChar w:fldCharType="begin"/>
      </w:r>
      <w:r>
        <w:rPr>
          <w:rFonts w:eastAsia="黑体" w:cs="Times New Roman"/>
          <w:sz w:val="32"/>
          <w:szCs w:val="32"/>
        </w:rPr>
        <w:instrText xml:space="preserve"> PAGEREF _Toc23118 \h </w:instrText>
      </w:r>
      <w:r>
        <w:rPr>
          <w:rFonts w:eastAsia="黑体" w:cs="Times New Roman"/>
          <w:sz w:val="32"/>
          <w:szCs w:val="32"/>
        </w:rPr>
        <w:fldChar w:fldCharType="separate"/>
      </w:r>
      <w:r>
        <w:rPr>
          <w:rFonts w:eastAsia="黑体" w:cs="Times New Roman"/>
          <w:sz w:val="32"/>
          <w:szCs w:val="32"/>
        </w:rPr>
        <w:t>37</w:t>
      </w:r>
      <w:r>
        <w:rPr>
          <w:rFonts w:eastAsia="黑体" w:cs="Times New Roman"/>
          <w:sz w:val="32"/>
          <w:szCs w:val="32"/>
        </w:rPr>
        <w:fldChar w:fldCharType="end"/>
      </w:r>
      <w:r>
        <w:rPr>
          <w:rFonts w:eastAsia="黑体" w:cs="Times New Roman"/>
          <w:sz w:val="32"/>
          <w:szCs w:val="32"/>
        </w:rPr>
        <w:fldChar w:fldCharType="end"/>
      </w:r>
    </w:p>
    <w:p w14:paraId="46A05333">
      <w:pPr>
        <w:pStyle w:val="14"/>
        <w:tabs>
          <w:tab w:val="right" w:leader="dot" w:pos="8844"/>
        </w:tabs>
        <w:spacing w:line="560" w:lineRule="exact"/>
        <w:ind w:firstLine="640"/>
        <w:rPr>
          <w:rFonts w:eastAsia="楷体_GB2312" w:cs="Times New Roman"/>
          <w:szCs w:val="32"/>
        </w:rPr>
      </w:pPr>
      <w:r>
        <w:rPr>
          <w:rFonts w:eastAsia="楷体_GB2312"/>
        </w:rPr>
        <w:fldChar w:fldCharType="begin"/>
      </w:r>
      <w:r>
        <w:rPr>
          <w:rFonts w:eastAsia="楷体_GB2312"/>
        </w:rPr>
        <w:instrText xml:space="preserve"> HYPERLINK \l "_Toc13952" </w:instrText>
      </w:r>
      <w:r>
        <w:rPr>
          <w:rFonts w:eastAsia="楷体_GB2312"/>
        </w:rPr>
        <w:fldChar w:fldCharType="separate"/>
      </w:r>
      <w:r>
        <w:rPr>
          <w:rFonts w:eastAsia="楷体_GB2312" w:cs="Times New Roman"/>
          <w:szCs w:val="32"/>
        </w:rPr>
        <w:t>第一节  塑造“江海门户”交通枢纽优势</w:t>
      </w:r>
      <w:r>
        <w:rPr>
          <w:rFonts w:eastAsia="楷体_GB2312" w:cs="Times New Roman"/>
          <w:szCs w:val="32"/>
        </w:rPr>
        <w:tab/>
      </w:r>
      <w:r>
        <w:rPr>
          <w:rFonts w:eastAsia="楷体_GB2312" w:cs="Times New Roman"/>
          <w:szCs w:val="32"/>
        </w:rPr>
        <w:fldChar w:fldCharType="begin"/>
      </w:r>
      <w:r>
        <w:rPr>
          <w:rFonts w:eastAsia="楷体_GB2312" w:cs="Times New Roman"/>
          <w:szCs w:val="32"/>
        </w:rPr>
        <w:instrText xml:space="preserve"> PAGEREF _Toc13952 \h </w:instrText>
      </w:r>
      <w:r>
        <w:rPr>
          <w:rFonts w:eastAsia="楷体_GB2312" w:cs="Times New Roman"/>
          <w:szCs w:val="32"/>
        </w:rPr>
        <w:fldChar w:fldCharType="separate"/>
      </w:r>
      <w:r>
        <w:rPr>
          <w:rFonts w:eastAsia="楷体_GB2312" w:cs="Times New Roman"/>
          <w:szCs w:val="32"/>
        </w:rPr>
        <w:t>37</w:t>
      </w:r>
      <w:r>
        <w:rPr>
          <w:rFonts w:eastAsia="楷体_GB2312" w:cs="Times New Roman"/>
          <w:szCs w:val="32"/>
        </w:rPr>
        <w:fldChar w:fldCharType="end"/>
      </w:r>
      <w:r>
        <w:rPr>
          <w:rFonts w:eastAsia="楷体_GB2312" w:cs="Times New Roman"/>
          <w:szCs w:val="32"/>
        </w:rPr>
        <w:fldChar w:fldCharType="end"/>
      </w:r>
    </w:p>
    <w:p w14:paraId="0FA4B661">
      <w:pPr>
        <w:pStyle w:val="14"/>
        <w:tabs>
          <w:tab w:val="right" w:leader="dot" w:pos="8844"/>
        </w:tabs>
        <w:spacing w:line="560" w:lineRule="exact"/>
        <w:ind w:firstLine="640"/>
        <w:rPr>
          <w:rFonts w:eastAsia="楷体_GB2312" w:cs="Times New Roman"/>
          <w:szCs w:val="32"/>
        </w:rPr>
      </w:pPr>
      <w:r>
        <w:rPr>
          <w:rFonts w:eastAsia="楷体_GB2312"/>
        </w:rPr>
        <w:fldChar w:fldCharType="begin"/>
      </w:r>
      <w:r>
        <w:rPr>
          <w:rFonts w:eastAsia="楷体_GB2312"/>
        </w:rPr>
        <w:instrText xml:space="preserve"> HYPERLINK \l "_Toc19239" </w:instrText>
      </w:r>
      <w:r>
        <w:rPr>
          <w:rFonts w:eastAsia="楷体_GB2312"/>
        </w:rPr>
        <w:fldChar w:fldCharType="separate"/>
      </w:r>
      <w:r>
        <w:rPr>
          <w:rFonts w:eastAsia="楷体_GB2312" w:cs="Times New Roman"/>
          <w:szCs w:val="32"/>
        </w:rPr>
        <w:t>第二节  完善内外开放、城乡互融的现代流通体系</w:t>
      </w:r>
      <w:r>
        <w:rPr>
          <w:rFonts w:eastAsia="楷体_GB2312" w:cs="Times New Roman"/>
          <w:szCs w:val="32"/>
        </w:rPr>
        <w:tab/>
      </w:r>
      <w:r>
        <w:rPr>
          <w:rFonts w:eastAsia="楷体_GB2312" w:cs="Times New Roman"/>
          <w:szCs w:val="32"/>
        </w:rPr>
        <w:fldChar w:fldCharType="begin"/>
      </w:r>
      <w:r>
        <w:rPr>
          <w:rFonts w:eastAsia="楷体_GB2312" w:cs="Times New Roman"/>
          <w:szCs w:val="32"/>
        </w:rPr>
        <w:instrText xml:space="preserve"> PAGEREF _Toc19239 \h </w:instrText>
      </w:r>
      <w:r>
        <w:rPr>
          <w:rFonts w:eastAsia="楷体_GB2312" w:cs="Times New Roman"/>
          <w:szCs w:val="32"/>
        </w:rPr>
        <w:fldChar w:fldCharType="separate"/>
      </w:r>
      <w:r>
        <w:rPr>
          <w:rFonts w:eastAsia="楷体_GB2312" w:cs="Times New Roman"/>
          <w:szCs w:val="32"/>
        </w:rPr>
        <w:t>39</w:t>
      </w:r>
      <w:r>
        <w:rPr>
          <w:rFonts w:eastAsia="楷体_GB2312" w:cs="Times New Roman"/>
          <w:szCs w:val="32"/>
        </w:rPr>
        <w:fldChar w:fldCharType="end"/>
      </w:r>
      <w:r>
        <w:rPr>
          <w:rFonts w:eastAsia="楷体_GB2312" w:cs="Times New Roman"/>
          <w:szCs w:val="32"/>
        </w:rPr>
        <w:fldChar w:fldCharType="end"/>
      </w:r>
    </w:p>
    <w:p w14:paraId="3CF55B77">
      <w:pPr>
        <w:pStyle w:val="14"/>
        <w:tabs>
          <w:tab w:val="right" w:leader="dot" w:pos="8844"/>
        </w:tabs>
        <w:spacing w:line="560" w:lineRule="exact"/>
        <w:ind w:firstLine="640"/>
        <w:rPr>
          <w:rFonts w:eastAsia="楷体_GB2312" w:cs="Times New Roman"/>
          <w:szCs w:val="32"/>
        </w:rPr>
      </w:pPr>
      <w:r>
        <w:rPr>
          <w:rFonts w:eastAsia="楷体_GB2312"/>
        </w:rPr>
        <w:fldChar w:fldCharType="begin"/>
      </w:r>
      <w:r>
        <w:rPr>
          <w:rFonts w:eastAsia="楷体_GB2312"/>
        </w:rPr>
        <w:instrText xml:space="preserve"> HYPERLINK \l "_Toc31793" </w:instrText>
      </w:r>
      <w:r>
        <w:rPr>
          <w:rFonts w:eastAsia="楷体_GB2312"/>
        </w:rPr>
        <w:fldChar w:fldCharType="separate"/>
      </w:r>
      <w:r>
        <w:rPr>
          <w:rFonts w:eastAsia="楷体_GB2312" w:cs="Times New Roman"/>
          <w:szCs w:val="32"/>
        </w:rPr>
        <w:t>第三节  发展富有江海特色的现代海洋产业</w:t>
      </w:r>
      <w:r>
        <w:rPr>
          <w:rFonts w:eastAsia="楷体_GB2312" w:cs="Times New Roman"/>
          <w:szCs w:val="32"/>
        </w:rPr>
        <w:tab/>
      </w:r>
      <w:r>
        <w:rPr>
          <w:rFonts w:eastAsia="楷体_GB2312" w:cs="Times New Roman"/>
          <w:szCs w:val="32"/>
        </w:rPr>
        <w:fldChar w:fldCharType="begin"/>
      </w:r>
      <w:r>
        <w:rPr>
          <w:rFonts w:eastAsia="楷体_GB2312" w:cs="Times New Roman"/>
          <w:szCs w:val="32"/>
        </w:rPr>
        <w:instrText xml:space="preserve"> PAGEREF _Toc31793 \h </w:instrText>
      </w:r>
      <w:r>
        <w:rPr>
          <w:rFonts w:eastAsia="楷体_GB2312" w:cs="Times New Roman"/>
          <w:szCs w:val="32"/>
        </w:rPr>
        <w:fldChar w:fldCharType="separate"/>
      </w:r>
      <w:r>
        <w:rPr>
          <w:rFonts w:eastAsia="楷体_GB2312" w:cs="Times New Roman"/>
          <w:szCs w:val="32"/>
        </w:rPr>
        <w:t>40</w:t>
      </w:r>
      <w:r>
        <w:rPr>
          <w:rFonts w:eastAsia="楷体_GB2312" w:cs="Times New Roman"/>
          <w:szCs w:val="32"/>
        </w:rPr>
        <w:fldChar w:fldCharType="end"/>
      </w:r>
      <w:r>
        <w:rPr>
          <w:rFonts w:eastAsia="楷体_GB2312" w:cs="Times New Roman"/>
          <w:szCs w:val="32"/>
        </w:rPr>
        <w:fldChar w:fldCharType="end"/>
      </w:r>
    </w:p>
    <w:p w14:paraId="2BC2AEDC">
      <w:pPr>
        <w:pStyle w:val="14"/>
        <w:tabs>
          <w:tab w:val="right" w:leader="dot" w:pos="8844"/>
        </w:tabs>
        <w:spacing w:line="560" w:lineRule="exact"/>
        <w:ind w:firstLine="640"/>
        <w:rPr>
          <w:rFonts w:eastAsia="楷体_GB2312" w:cs="Times New Roman"/>
          <w:szCs w:val="32"/>
        </w:rPr>
      </w:pPr>
      <w:r>
        <w:rPr>
          <w:rFonts w:eastAsia="楷体_GB2312"/>
        </w:rPr>
        <w:fldChar w:fldCharType="begin"/>
      </w:r>
      <w:r>
        <w:rPr>
          <w:rFonts w:eastAsia="楷体_GB2312"/>
        </w:rPr>
        <w:instrText xml:space="preserve"> HYPERLINK \l "_Toc7172" </w:instrText>
      </w:r>
      <w:r>
        <w:rPr>
          <w:rFonts w:eastAsia="楷体_GB2312"/>
        </w:rPr>
        <w:fldChar w:fldCharType="separate"/>
      </w:r>
      <w:r>
        <w:rPr>
          <w:rFonts w:eastAsia="楷体_GB2312" w:cs="Times New Roman"/>
          <w:szCs w:val="32"/>
        </w:rPr>
        <w:t>第四节  深度融入上海大都市圈</w:t>
      </w:r>
      <w:r>
        <w:rPr>
          <w:rFonts w:eastAsia="楷体_GB2312" w:cs="Times New Roman"/>
          <w:szCs w:val="32"/>
        </w:rPr>
        <w:tab/>
      </w:r>
      <w:r>
        <w:rPr>
          <w:rFonts w:eastAsia="楷体_GB2312" w:cs="Times New Roman"/>
          <w:szCs w:val="32"/>
        </w:rPr>
        <w:fldChar w:fldCharType="begin"/>
      </w:r>
      <w:r>
        <w:rPr>
          <w:rFonts w:eastAsia="楷体_GB2312" w:cs="Times New Roman"/>
          <w:szCs w:val="32"/>
        </w:rPr>
        <w:instrText xml:space="preserve"> PAGEREF _Toc7172 \h </w:instrText>
      </w:r>
      <w:r>
        <w:rPr>
          <w:rFonts w:eastAsia="楷体_GB2312" w:cs="Times New Roman"/>
          <w:szCs w:val="32"/>
        </w:rPr>
        <w:fldChar w:fldCharType="separate"/>
      </w:r>
      <w:r>
        <w:rPr>
          <w:rFonts w:eastAsia="楷体_GB2312" w:cs="Times New Roman"/>
          <w:szCs w:val="32"/>
        </w:rPr>
        <w:t>42</w:t>
      </w:r>
      <w:r>
        <w:rPr>
          <w:rFonts w:eastAsia="楷体_GB2312" w:cs="Times New Roman"/>
          <w:szCs w:val="32"/>
        </w:rPr>
        <w:fldChar w:fldCharType="end"/>
      </w:r>
      <w:r>
        <w:rPr>
          <w:rFonts w:eastAsia="楷体_GB2312" w:cs="Times New Roman"/>
          <w:szCs w:val="32"/>
        </w:rPr>
        <w:fldChar w:fldCharType="end"/>
      </w:r>
    </w:p>
    <w:p w14:paraId="66BB0476">
      <w:pPr>
        <w:pStyle w:val="14"/>
        <w:tabs>
          <w:tab w:val="right" w:leader="dot" w:pos="8844"/>
        </w:tabs>
        <w:spacing w:line="560" w:lineRule="exact"/>
        <w:ind w:firstLine="640"/>
        <w:rPr>
          <w:rFonts w:eastAsia="楷体_GB2312" w:cs="Times New Roman"/>
          <w:szCs w:val="32"/>
        </w:rPr>
      </w:pPr>
      <w:r>
        <w:rPr>
          <w:rFonts w:eastAsia="楷体_GB2312"/>
        </w:rPr>
        <w:fldChar w:fldCharType="begin"/>
      </w:r>
      <w:r>
        <w:rPr>
          <w:rFonts w:eastAsia="楷体_GB2312"/>
        </w:rPr>
        <w:instrText xml:space="preserve"> HYPERLINK \l "_Toc25574" </w:instrText>
      </w:r>
      <w:r>
        <w:rPr>
          <w:rFonts w:eastAsia="楷体_GB2312"/>
        </w:rPr>
        <w:fldChar w:fldCharType="separate"/>
      </w:r>
      <w:r>
        <w:rPr>
          <w:rFonts w:eastAsia="楷体_GB2312" w:cs="Times New Roman"/>
          <w:szCs w:val="32"/>
        </w:rPr>
        <w:t>第五节  拓展区域合作空间</w:t>
      </w:r>
      <w:r>
        <w:rPr>
          <w:rFonts w:eastAsia="楷体_GB2312" w:cs="Times New Roman"/>
          <w:szCs w:val="32"/>
        </w:rPr>
        <w:tab/>
      </w:r>
      <w:r>
        <w:rPr>
          <w:rFonts w:eastAsia="楷体_GB2312" w:cs="Times New Roman"/>
          <w:szCs w:val="32"/>
        </w:rPr>
        <w:fldChar w:fldCharType="begin"/>
      </w:r>
      <w:r>
        <w:rPr>
          <w:rFonts w:eastAsia="楷体_GB2312" w:cs="Times New Roman"/>
          <w:szCs w:val="32"/>
        </w:rPr>
        <w:instrText xml:space="preserve"> PAGEREF _Toc25574 \h </w:instrText>
      </w:r>
      <w:r>
        <w:rPr>
          <w:rFonts w:eastAsia="楷体_GB2312" w:cs="Times New Roman"/>
          <w:szCs w:val="32"/>
        </w:rPr>
        <w:fldChar w:fldCharType="separate"/>
      </w:r>
      <w:r>
        <w:rPr>
          <w:rFonts w:eastAsia="楷体_GB2312" w:cs="Times New Roman"/>
          <w:szCs w:val="32"/>
        </w:rPr>
        <w:t>45</w:t>
      </w:r>
      <w:r>
        <w:rPr>
          <w:rFonts w:eastAsia="楷体_GB2312" w:cs="Times New Roman"/>
          <w:szCs w:val="32"/>
        </w:rPr>
        <w:fldChar w:fldCharType="end"/>
      </w:r>
      <w:r>
        <w:rPr>
          <w:rFonts w:eastAsia="楷体_GB2312" w:cs="Times New Roman"/>
          <w:szCs w:val="32"/>
        </w:rPr>
        <w:fldChar w:fldCharType="end"/>
      </w:r>
    </w:p>
    <w:p w14:paraId="2FA71B34">
      <w:pPr>
        <w:pStyle w:val="11"/>
        <w:tabs>
          <w:tab w:val="right" w:leader="dot" w:pos="8844"/>
        </w:tabs>
        <w:spacing w:line="560" w:lineRule="exact"/>
        <w:rPr>
          <w:rFonts w:eastAsia="黑体" w:cs="Times New Roman"/>
          <w:sz w:val="32"/>
          <w:szCs w:val="32"/>
        </w:rPr>
      </w:pPr>
      <w:r>
        <w:rPr>
          <w:rFonts w:eastAsia="黑体"/>
        </w:rPr>
        <w:fldChar w:fldCharType="begin"/>
      </w:r>
      <w:r>
        <w:rPr>
          <w:rFonts w:eastAsia="黑体"/>
        </w:rPr>
        <w:instrText xml:space="preserve"> HYPERLINK \l "_Toc5541" </w:instrText>
      </w:r>
      <w:r>
        <w:rPr>
          <w:rFonts w:eastAsia="黑体"/>
        </w:rPr>
        <w:fldChar w:fldCharType="separate"/>
      </w:r>
      <w:r>
        <w:rPr>
          <w:rFonts w:eastAsia="黑体" w:cs="Times New Roman"/>
          <w:sz w:val="32"/>
          <w:szCs w:val="32"/>
        </w:rPr>
        <w:t xml:space="preserve">第六章  </w:t>
      </w:r>
      <w:r>
        <w:rPr>
          <w:rFonts w:eastAsia="黑体" w:cs="Times New Roman"/>
          <w:spacing w:val="-6"/>
          <w:sz w:val="32"/>
          <w:szCs w:val="32"/>
        </w:rPr>
        <w:t>统筹扩大内需与高水平开放  激活经济发展强劲引擎</w:t>
      </w:r>
      <w:r>
        <w:rPr>
          <w:rFonts w:eastAsia="黑体" w:cs="Times New Roman"/>
          <w:spacing w:val="-6"/>
          <w:sz w:val="32"/>
          <w:szCs w:val="32"/>
        </w:rPr>
        <w:tab/>
      </w:r>
      <w:r>
        <w:rPr>
          <w:rFonts w:eastAsia="黑体" w:cs="Times New Roman"/>
          <w:sz w:val="32"/>
          <w:szCs w:val="32"/>
        </w:rPr>
        <w:fldChar w:fldCharType="begin"/>
      </w:r>
      <w:r>
        <w:rPr>
          <w:rFonts w:eastAsia="黑体" w:cs="Times New Roman"/>
          <w:sz w:val="32"/>
          <w:szCs w:val="32"/>
        </w:rPr>
        <w:instrText xml:space="preserve"> PAGEREF _Toc5541 \h </w:instrText>
      </w:r>
      <w:r>
        <w:rPr>
          <w:rFonts w:eastAsia="黑体" w:cs="Times New Roman"/>
          <w:sz w:val="32"/>
          <w:szCs w:val="32"/>
        </w:rPr>
        <w:fldChar w:fldCharType="separate"/>
      </w:r>
      <w:r>
        <w:rPr>
          <w:rFonts w:eastAsia="黑体" w:cs="Times New Roman"/>
          <w:sz w:val="32"/>
          <w:szCs w:val="32"/>
        </w:rPr>
        <w:t>47</w:t>
      </w:r>
      <w:r>
        <w:rPr>
          <w:rFonts w:eastAsia="黑体" w:cs="Times New Roman"/>
          <w:sz w:val="32"/>
          <w:szCs w:val="32"/>
        </w:rPr>
        <w:fldChar w:fldCharType="end"/>
      </w:r>
      <w:r>
        <w:rPr>
          <w:rFonts w:eastAsia="黑体" w:cs="Times New Roman"/>
          <w:sz w:val="32"/>
          <w:szCs w:val="32"/>
        </w:rPr>
        <w:fldChar w:fldCharType="end"/>
      </w:r>
    </w:p>
    <w:p w14:paraId="38CB68CA">
      <w:pPr>
        <w:pStyle w:val="14"/>
        <w:tabs>
          <w:tab w:val="right" w:leader="dot" w:pos="8844"/>
        </w:tabs>
        <w:spacing w:line="560" w:lineRule="exact"/>
        <w:ind w:firstLine="640"/>
        <w:rPr>
          <w:rFonts w:eastAsia="楷体_GB2312" w:cs="Times New Roman"/>
          <w:szCs w:val="32"/>
        </w:rPr>
      </w:pPr>
      <w:r>
        <w:rPr>
          <w:rFonts w:eastAsia="楷体_GB2312"/>
        </w:rPr>
        <w:fldChar w:fldCharType="begin"/>
      </w:r>
      <w:r>
        <w:rPr>
          <w:rFonts w:eastAsia="楷体_GB2312"/>
        </w:rPr>
        <w:instrText xml:space="preserve"> HYPERLINK \l "_Toc9705" </w:instrText>
      </w:r>
      <w:r>
        <w:rPr>
          <w:rFonts w:eastAsia="楷体_GB2312"/>
        </w:rPr>
        <w:fldChar w:fldCharType="separate"/>
      </w:r>
      <w:r>
        <w:rPr>
          <w:rFonts w:eastAsia="楷体_GB2312" w:cs="Times New Roman"/>
          <w:szCs w:val="32"/>
        </w:rPr>
        <w:t>第一节  打响更富生命力的城市消费名片</w:t>
      </w:r>
      <w:r>
        <w:rPr>
          <w:rFonts w:eastAsia="楷体_GB2312" w:cs="Times New Roman"/>
          <w:szCs w:val="32"/>
        </w:rPr>
        <w:tab/>
      </w:r>
      <w:r>
        <w:rPr>
          <w:rFonts w:eastAsia="楷体_GB2312" w:cs="Times New Roman"/>
          <w:szCs w:val="32"/>
        </w:rPr>
        <w:fldChar w:fldCharType="begin"/>
      </w:r>
      <w:r>
        <w:rPr>
          <w:rFonts w:eastAsia="楷体_GB2312" w:cs="Times New Roman"/>
          <w:szCs w:val="32"/>
        </w:rPr>
        <w:instrText xml:space="preserve"> PAGEREF _Toc9705 \h </w:instrText>
      </w:r>
      <w:r>
        <w:rPr>
          <w:rFonts w:eastAsia="楷体_GB2312" w:cs="Times New Roman"/>
          <w:szCs w:val="32"/>
        </w:rPr>
        <w:fldChar w:fldCharType="separate"/>
      </w:r>
      <w:r>
        <w:rPr>
          <w:rFonts w:eastAsia="楷体_GB2312" w:cs="Times New Roman"/>
          <w:szCs w:val="32"/>
        </w:rPr>
        <w:t>47</w:t>
      </w:r>
      <w:r>
        <w:rPr>
          <w:rFonts w:eastAsia="楷体_GB2312" w:cs="Times New Roman"/>
          <w:szCs w:val="32"/>
        </w:rPr>
        <w:fldChar w:fldCharType="end"/>
      </w:r>
      <w:r>
        <w:rPr>
          <w:rFonts w:eastAsia="楷体_GB2312" w:cs="Times New Roman"/>
          <w:szCs w:val="32"/>
        </w:rPr>
        <w:fldChar w:fldCharType="end"/>
      </w:r>
    </w:p>
    <w:p w14:paraId="6E7FF17C">
      <w:pPr>
        <w:pStyle w:val="14"/>
        <w:tabs>
          <w:tab w:val="right" w:leader="dot" w:pos="8844"/>
        </w:tabs>
        <w:spacing w:line="560" w:lineRule="exact"/>
        <w:ind w:firstLine="640"/>
        <w:rPr>
          <w:rFonts w:eastAsia="楷体_GB2312" w:cs="Times New Roman"/>
          <w:szCs w:val="32"/>
        </w:rPr>
      </w:pPr>
      <w:r>
        <w:rPr>
          <w:rFonts w:eastAsia="楷体_GB2312"/>
        </w:rPr>
        <w:fldChar w:fldCharType="begin"/>
      </w:r>
      <w:r>
        <w:rPr>
          <w:rFonts w:eastAsia="楷体_GB2312"/>
        </w:rPr>
        <w:instrText xml:space="preserve"> HYPERLINK \l "_Toc32646" </w:instrText>
      </w:r>
      <w:r>
        <w:rPr>
          <w:rFonts w:eastAsia="楷体_GB2312"/>
        </w:rPr>
        <w:fldChar w:fldCharType="separate"/>
      </w:r>
      <w:r>
        <w:rPr>
          <w:rFonts w:eastAsia="楷体_GB2312" w:cs="Times New Roman"/>
          <w:szCs w:val="32"/>
        </w:rPr>
        <w:t>第二节  打造更具吸引力的投资目的地</w:t>
      </w:r>
      <w:r>
        <w:rPr>
          <w:rFonts w:eastAsia="楷体_GB2312" w:cs="Times New Roman"/>
          <w:szCs w:val="32"/>
        </w:rPr>
        <w:tab/>
      </w:r>
      <w:r>
        <w:rPr>
          <w:rFonts w:eastAsia="楷体_GB2312" w:cs="Times New Roman"/>
          <w:szCs w:val="32"/>
        </w:rPr>
        <w:fldChar w:fldCharType="begin"/>
      </w:r>
      <w:r>
        <w:rPr>
          <w:rFonts w:eastAsia="楷体_GB2312" w:cs="Times New Roman"/>
          <w:szCs w:val="32"/>
        </w:rPr>
        <w:instrText xml:space="preserve"> PAGEREF _Toc32646 \h </w:instrText>
      </w:r>
      <w:r>
        <w:rPr>
          <w:rFonts w:eastAsia="楷体_GB2312" w:cs="Times New Roman"/>
          <w:szCs w:val="32"/>
        </w:rPr>
        <w:fldChar w:fldCharType="separate"/>
      </w:r>
      <w:r>
        <w:rPr>
          <w:rFonts w:eastAsia="楷体_GB2312" w:cs="Times New Roman"/>
          <w:szCs w:val="32"/>
        </w:rPr>
        <w:t>50</w:t>
      </w:r>
      <w:r>
        <w:rPr>
          <w:rFonts w:eastAsia="楷体_GB2312" w:cs="Times New Roman"/>
          <w:szCs w:val="32"/>
        </w:rPr>
        <w:fldChar w:fldCharType="end"/>
      </w:r>
      <w:r>
        <w:rPr>
          <w:rFonts w:eastAsia="楷体_GB2312" w:cs="Times New Roman"/>
          <w:szCs w:val="32"/>
        </w:rPr>
        <w:fldChar w:fldCharType="end"/>
      </w:r>
    </w:p>
    <w:p w14:paraId="3D6015A9">
      <w:pPr>
        <w:pStyle w:val="14"/>
        <w:tabs>
          <w:tab w:val="right" w:leader="dot" w:pos="8844"/>
        </w:tabs>
        <w:spacing w:line="560" w:lineRule="exact"/>
        <w:ind w:firstLine="640"/>
        <w:rPr>
          <w:rFonts w:hint="eastAsia" w:eastAsia="楷体_GB2312" w:cs="Times New Roman"/>
          <w:szCs w:val="32"/>
          <w:lang w:val="en-US" w:eastAsia="zh-CN"/>
        </w:rPr>
      </w:pPr>
      <w:r>
        <w:rPr>
          <w:rFonts w:eastAsia="楷体_GB2312"/>
        </w:rPr>
        <w:fldChar w:fldCharType="begin"/>
      </w:r>
      <w:r>
        <w:rPr>
          <w:rFonts w:eastAsia="楷体_GB2312"/>
        </w:rPr>
        <w:instrText xml:space="preserve"> HYPERLINK \l "_Toc8867" </w:instrText>
      </w:r>
      <w:r>
        <w:rPr>
          <w:rFonts w:eastAsia="楷体_GB2312"/>
        </w:rPr>
        <w:fldChar w:fldCharType="separate"/>
      </w:r>
      <w:r>
        <w:rPr>
          <w:rFonts w:eastAsia="楷体_GB2312" w:cs="Times New Roman"/>
          <w:szCs w:val="32"/>
        </w:rPr>
        <w:t>第三节  发展更具韧性的开放型经济</w:t>
      </w:r>
      <w:r>
        <w:rPr>
          <w:rFonts w:eastAsia="楷体_GB2312" w:cs="Times New Roman"/>
          <w:szCs w:val="32"/>
        </w:rPr>
        <w:tab/>
      </w:r>
      <w:r>
        <w:rPr>
          <w:rFonts w:eastAsia="楷体_GB2312" w:cs="Times New Roman"/>
          <w:szCs w:val="32"/>
        </w:rPr>
        <w:fldChar w:fldCharType="begin"/>
      </w:r>
      <w:r>
        <w:rPr>
          <w:rFonts w:eastAsia="楷体_GB2312" w:cs="Times New Roman"/>
          <w:szCs w:val="32"/>
        </w:rPr>
        <w:instrText xml:space="preserve"> PAGEREF _Toc8867 \h </w:instrText>
      </w:r>
      <w:r>
        <w:rPr>
          <w:rFonts w:eastAsia="楷体_GB2312" w:cs="Times New Roman"/>
          <w:szCs w:val="32"/>
        </w:rPr>
        <w:fldChar w:fldCharType="separate"/>
      </w:r>
      <w:r>
        <w:rPr>
          <w:rFonts w:eastAsia="楷体_GB2312" w:cs="Times New Roman"/>
          <w:szCs w:val="32"/>
        </w:rPr>
        <w:t>52</w:t>
      </w:r>
      <w:r>
        <w:rPr>
          <w:rFonts w:eastAsia="楷体_GB2312" w:cs="Times New Roman"/>
          <w:szCs w:val="32"/>
        </w:rPr>
        <w:fldChar w:fldCharType="end"/>
      </w:r>
      <w:r>
        <w:rPr>
          <w:rFonts w:eastAsia="楷体_GB2312" w:cs="Times New Roman"/>
          <w:szCs w:val="32"/>
        </w:rPr>
        <w:fldChar w:fldCharType="end"/>
      </w:r>
    </w:p>
    <w:p w14:paraId="2A2BD8BA">
      <w:pPr>
        <w:pStyle w:val="11"/>
        <w:tabs>
          <w:tab w:val="right" w:leader="dot" w:pos="8844"/>
        </w:tabs>
        <w:spacing w:line="560" w:lineRule="exact"/>
        <w:rPr>
          <w:rFonts w:eastAsia="黑体" w:cs="Times New Roman"/>
          <w:sz w:val="32"/>
          <w:szCs w:val="32"/>
        </w:rPr>
      </w:pPr>
      <w:r>
        <w:rPr>
          <w:rFonts w:eastAsia="黑体"/>
        </w:rPr>
        <w:fldChar w:fldCharType="begin"/>
      </w:r>
      <w:r>
        <w:rPr>
          <w:rFonts w:eastAsia="黑体"/>
        </w:rPr>
        <w:instrText xml:space="preserve"> HYPERLINK \l "_Toc31718" </w:instrText>
      </w:r>
      <w:r>
        <w:rPr>
          <w:rFonts w:eastAsia="黑体"/>
        </w:rPr>
        <w:fldChar w:fldCharType="separate"/>
      </w:r>
      <w:r>
        <w:rPr>
          <w:rFonts w:eastAsia="黑体" w:cs="Times New Roman"/>
          <w:spacing w:val="-11"/>
          <w:sz w:val="32"/>
          <w:szCs w:val="32"/>
        </w:rPr>
        <w:t xml:space="preserve">第七章  </w:t>
      </w:r>
      <w:r>
        <w:rPr>
          <w:rFonts w:eastAsia="黑体" w:cs="Times New Roman"/>
          <w:sz w:val="32"/>
          <w:szCs w:val="32"/>
        </w:rPr>
        <w:t>深入推进数字海门建设  打造智能经济和智能社会新形态</w:t>
      </w:r>
      <w:r>
        <w:rPr>
          <w:rFonts w:eastAsia="黑体" w:cs="Times New Roman"/>
          <w:sz w:val="32"/>
          <w:szCs w:val="32"/>
        </w:rPr>
        <w:tab/>
      </w:r>
      <w:r>
        <w:rPr>
          <w:rFonts w:eastAsia="黑体" w:cs="Times New Roman"/>
          <w:sz w:val="32"/>
          <w:szCs w:val="32"/>
        </w:rPr>
        <w:fldChar w:fldCharType="begin"/>
      </w:r>
      <w:r>
        <w:rPr>
          <w:rFonts w:eastAsia="黑体" w:cs="Times New Roman"/>
          <w:sz w:val="32"/>
          <w:szCs w:val="32"/>
        </w:rPr>
        <w:instrText xml:space="preserve"> PAGEREF _Toc31718 \h </w:instrText>
      </w:r>
      <w:r>
        <w:rPr>
          <w:rFonts w:eastAsia="黑体" w:cs="Times New Roman"/>
          <w:sz w:val="32"/>
          <w:szCs w:val="32"/>
        </w:rPr>
        <w:fldChar w:fldCharType="separate"/>
      </w:r>
      <w:r>
        <w:rPr>
          <w:rFonts w:eastAsia="黑体" w:cs="Times New Roman"/>
          <w:sz w:val="32"/>
          <w:szCs w:val="32"/>
        </w:rPr>
        <w:t>54</w:t>
      </w:r>
      <w:r>
        <w:rPr>
          <w:rFonts w:eastAsia="黑体" w:cs="Times New Roman"/>
          <w:sz w:val="32"/>
          <w:szCs w:val="32"/>
        </w:rPr>
        <w:fldChar w:fldCharType="end"/>
      </w:r>
      <w:r>
        <w:rPr>
          <w:rFonts w:eastAsia="黑体" w:cs="Times New Roman"/>
          <w:sz w:val="32"/>
          <w:szCs w:val="32"/>
        </w:rPr>
        <w:fldChar w:fldCharType="end"/>
      </w:r>
    </w:p>
    <w:p w14:paraId="6F26135C">
      <w:pPr>
        <w:pStyle w:val="14"/>
        <w:tabs>
          <w:tab w:val="right" w:leader="dot" w:pos="8844"/>
        </w:tabs>
        <w:spacing w:line="560" w:lineRule="exact"/>
        <w:ind w:firstLine="640"/>
        <w:rPr>
          <w:rFonts w:eastAsia="楷体_GB2312" w:cs="Times New Roman"/>
          <w:szCs w:val="32"/>
        </w:rPr>
      </w:pPr>
      <w:r>
        <w:rPr>
          <w:rFonts w:eastAsia="楷体_GB2312"/>
        </w:rPr>
        <w:fldChar w:fldCharType="begin"/>
      </w:r>
      <w:r>
        <w:rPr>
          <w:rFonts w:eastAsia="楷体_GB2312"/>
        </w:rPr>
        <w:instrText xml:space="preserve"> HYPERLINK \l "_Toc28926" </w:instrText>
      </w:r>
      <w:r>
        <w:rPr>
          <w:rFonts w:eastAsia="楷体_GB2312"/>
        </w:rPr>
        <w:fldChar w:fldCharType="separate"/>
      </w:r>
      <w:r>
        <w:rPr>
          <w:rFonts w:eastAsia="楷体_GB2312" w:cs="Times New Roman"/>
          <w:szCs w:val="32"/>
        </w:rPr>
        <w:t>第一节  做强数字经济关键增量</w:t>
      </w:r>
      <w:r>
        <w:rPr>
          <w:rFonts w:eastAsia="楷体_GB2312" w:cs="Times New Roman"/>
          <w:szCs w:val="32"/>
        </w:rPr>
        <w:tab/>
      </w:r>
      <w:r>
        <w:rPr>
          <w:rFonts w:eastAsia="楷体_GB2312" w:cs="Times New Roman"/>
          <w:szCs w:val="32"/>
        </w:rPr>
        <w:fldChar w:fldCharType="begin"/>
      </w:r>
      <w:r>
        <w:rPr>
          <w:rFonts w:eastAsia="楷体_GB2312" w:cs="Times New Roman"/>
          <w:szCs w:val="32"/>
        </w:rPr>
        <w:instrText xml:space="preserve"> PAGEREF _Toc28926 \h </w:instrText>
      </w:r>
      <w:r>
        <w:rPr>
          <w:rFonts w:eastAsia="楷体_GB2312" w:cs="Times New Roman"/>
          <w:szCs w:val="32"/>
        </w:rPr>
        <w:fldChar w:fldCharType="separate"/>
      </w:r>
      <w:r>
        <w:rPr>
          <w:rFonts w:eastAsia="楷体_GB2312" w:cs="Times New Roman"/>
          <w:szCs w:val="32"/>
        </w:rPr>
        <w:t>54</w:t>
      </w:r>
      <w:r>
        <w:rPr>
          <w:rFonts w:eastAsia="楷体_GB2312" w:cs="Times New Roman"/>
          <w:szCs w:val="32"/>
        </w:rPr>
        <w:fldChar w:fldCharType="end"/>
      </w:r>
      <w:r>
        <w:rPr>
          <w:rFonts w:eastAsia="楷体_GB2312" w:cs="Times New Roman"/>
          <w:szCs w:val="32"/>
        </w:rPr>
        <w:fldChar w:fldCharType="end"/>
      </w:r>
    </w:p>
    <w:p w14:paraId="22C1AEAE">
      <w:pPr>
        <w:pStyle w:val="14"/>
        <w:tabs>
          <w:tab w:val="right" w:leader="dot" w:pos="8844"/>
        </w:tabs>
        <w:spacing w:line="560" w:lineRule="exact"/>
        <w:ind w:firstLine="640"/>
        <w:rPr>
          <w:rFonts w:eastAsia="楷体_GB2312" w:cs="Times New Roman"/>
          <w:szCs w:val="32"/>
        </w:rPr>
      </w:pPr>
      <w:r>
        <w:rPr>
          <w:rFonts w:eastAsia="楷体_GB2312"/>
        </w:rPr>
        <w:fldChar w:fldCharType="begin"/>
      </w:r>
      <w:r>
        <w:rPr>
          <w:rFonts w:eastAsia="楷体_GB2312"/>
        </w:rPr>
        <w:instrText xml:space="preserve"> HYPERLINK \l "_Toc29955" </w:instrText>
      </w:r>
      <w:r>
        <w:rPr>
          <w:rFonts w:eastAsia="楷体_GB2312"/>
        </w:rPr>
        <w:fldChar w:fldCharType="separate"/>
      </w:r>
      <w:r>
        <w:rPr>
          <w:rFonts w:eastAsia="楷体_GB2312" w:cs="Times New Roman"/>
          <w:szCs w:val="32"/>
        </w:rPr>
        <w:t>第二节  强化产业数智化赋能</w:t>
      </w:r>
      <w:r>
        <w:rPr>
          <w:rFonts w:eastAsia="楷体_GB2312" w:cs="Times New Roman"/>
          <w:szCs w:val="32"/>
        </w:rPr>
        <w:tab/>
      </w:r>
      <w:r>
        <w:rPr>
          <w:rFonts w:eastAsia="楷体_GB2312" w:cs="Times New Roman"/>
          <w:szCs w:val="32"/>
        </w:rPr>
        <w:fldChar w:fldCharType="begin"/>
      </w:r>
      <w:r>
        <w:rPr>
          <w:rFonts w:eastAsia="楷体_GB2312" w:cs="Times New Roman"/>
          <w:szCs w:val="32"/>
        </w:rPr>
        <w:instrText xml:space="preserve"> PAGEREF _Toc29955 \h </w:instrText>
      </w:r>
      <w:r>
        <w:rPr>
          <w:rFonts w:eastAsia="楷体_GB2312" w:cs="Times New Roman"/>
          <w:szCs w:val="32"/>
        </w:rPr>
        <w:fldChar w:fldCharType="separate"/>
      </w:r>
      <w:r>
        <w:rPr>
          <w:rFonts w:eastAsia="楷体_GB2312" w:cs="Times New Roman"/>
          <w:szCs w:val="32"/>
        </w:rPr>
        <w:t>55</w:t>
      </w:r>
      <w:r>
        <w:rPr>
          <w:rFonts w:eastAsia="楷体_GB2312" w:cs="Times New Roman"/>
          <w:szCs w:val="32"/>
        </w:rPr>
        <w:fldChar w:fldCharType="end"/>
      </w:r>
      <w:r>
        <w:rPr>
          <w:rFonts w:eastAsia="楷体_GB2312" w:cs="Times New Roman"/>
          <w:szCs w:val="32"/>
        </w:rPr>
        <w:fldChar w:fldCharType="end"/>
      </w:r>
    </w:p>
    <w:p w14:paraId="7B56FF3B">
      <w:pPr>
        <w:pStyle w:val="14"/>
        <w:tabs>
          <w:tab w:val="right" w:leader="dot" w:pos="8844"/>
        </w:tabs>
        <w:spacing w:line="560" w:lineRule="exact"/>
        <w:ind w:firstLine="640"/>
        <w:rPr>
          <w:rFonts w:eastAsia="楷体_GB2312" w:cs="Times New Roman"/>
          <w:szCs w:val="32"/>
        </w:rPr>
      </w:pPr>
      <w:r>
        <w:rPr>
          <w:rFonts w:eastAsia="楷体_GB2312"/>
        </w:rPr>
        <w:fldChar w:fldCharType="begin"/>
      </w:r>
      <w:r>
        <w:rPr>
          <w:rFonts w:eastAsia="楷体_GB2312"/>
        </w:rPr>
        <w:instrText xml:space="preserve"> HYPERLINK \l "_Toc19769" </w:instrText>
      </w:r>
      <w:r>
        <w:rPr>
          <w:rFonts w:eastAsia="楷体_GB2312"/>
        </w:rPr>
        <w:fldChar w:fldCharType="separate"/>
      </w:r>
      <w:r>
        <w:rPr>
          <w:rFonts w:eastAsia="楷体_GB2312" w:cs="Times New Roman"/>
          <w:szCs w:val="32"/>
        </w:rPr>
        <w:t>第三节  建设高效便捷的智能社会</w:t>
      </w:r>
      <w:r>
        <w:rPr>
          <w:rFonts w:eastAsia="楷体_GB2312" w:cs="Times New Roman"/>
          <w:szCs w:val="32"/>
        </w:rPr>
        <w:tab/>
      </w:r>
      <w:r>
        <w:rPr>
          <w:rFonts w:eastAsia="楷体_GB2312" w:cs="Times New Roman"/>
          <w:szCs w:val="32"/>
        </w:rPr>
        <w:fldChar w:fldCharType="begin"/>
      </w:r>
      <w:r>
        <w:rPr>
          <w:rFonts w:eastAsia="楷体_GB2312" w:cs="Times New Roman"/>
          <w:szCs w:val="32"/>
        </w:rPr>
        <w:instrText xml:space="preserve"> PAGEREF _Toc19769 \h </w:instrText>
      </w:r>
      <w:r>
        <w:rPr>
          <w:rFonts w:eastAsia="楷体_GB2312" w:cs="Times New Roman"/>
          <w:szCs w:val="32"/>
        </w:rPr>
        <w:fldChar w:fldCharType="separate"/>
      </w:r>
      <w:r>
        <w:rPr>
          <w:rFonts w:eastAsia="楷体_GB2312" w:cs="Times New Roman"/>
          <w:szCs w:val="32"/>
        </w:rPr>
        <w:t>57</w:t>
      </w:r>
      <w:r>
        <w:rPr>
          <w:rFonts w:eastAsia="楷体_GB2312" w:cs="Times New Roman"/>
          <w:szCs w:val="32"/>
        </w:rPr>
        <w:fldChar w:fldCharType="end"/>
      </w:r>
      <w:r>
        <w:rPr>
          <w:rFonts w:eastAsia="楷体_GB2312" w:cs="Times New Roman"/>
          <w:szCs w:val="32"/>
        </w:rPr>
        <w:fldChar w:fldCharType="end"/>
      </w:r>
    </w:p>
    <w:p w14:paraId="538A7936">
      <w:pPr>
        <w:pStyle w:val="11"/>
        <w:tabs>
          <w:tab w:val="right" w:leader="dot" w:pos="8844"/>
        </w:tabs>
        <w:spacing w:line="560" w:lineRule="exact"/>
        <w:rPr>
          <w:rFonts w:eastAsia="黑体" w:cs="Times New Roman"/>
          <w:sz w:val="32"/>
          <w:szCs w:val="32"/>
        </w:rPr>
      </w:pPr>
      <w:r>
        <w:rPr>
          <w:rFonts w:eastAsia="黑体"/>
        </w:rPr>
        <w:fldChar w:fldCharType="begin"/>
      </w:r>
      <w:r>
        <w:rPr>
          <w:rFonts w:eastAsia="黑体"/>
        </w:rPr>
        <w:instrText xml:space="preserve"> HYPERLINK \l "_Toc11573" </w:instrText>
      </w:r>
      <w:r>
        <w:rPr>
          <w:rFonts w:eastAsia="黑体"/>
        </w:rPr>
        <w:fldChar w:fldCharType="separate"/>
      </w:r>
      <w:r>
        <w:rPr>
          <w:rFonts w:eastAsia="黑体" w:cs="Times New Roman"/>
          <w:sz w:val="32"/>
          <w:szCs w:val="32"/>
        </w:rPr>
        <w:t>第八章  破立并举深化改革赋能  增强高质量发展动力活力</w:t>
      </w:r>
      <w:r>
        <w:rPr>
          <w:rFonts w:eastAsia="黑体" w:cs="Times New Roman"/>
          <w:sz w:val="32"/>
          <w:szCs w:val="32"/>
        </w:rPr>
        <w:tab/>
      </w:r>
      <w:r>
        <w:rPr>
          <w:rFonts w:eastAsia="黑体" w:cs="Times New Roman"/>
          <w:sz w:val="32"/>
          <w:szCs w:val="32"/>
        </w:rPr>
        <w:fldChar w:fldCharType="begin"/>
      </w:r>
      <w:r>
        <w:rPr>
          <w:rFonts w:eastAsia="黑体" w:cs="Times New Roman"/>
          <w:sz w:val="32"/>
          <w:szCs w:val="32"/>
        </w:rPr>
        <w:instrText xml:space="preserve"> PAGEREF _Toc11573 \h </w:instrText>
      </w:r>
      <w:r>
        <w:rPr>
          <w:rFonts w:eastAsia="黑体" w:cs="Times New Roman"/>
          <w:sz w:val="32"/>
          <w:szCs w:val="32"/>
        </w:rPr>
        <w:fldChar w:fldCharType="separate"/>
      </w:r>
      <w:r>
        <w:rPr>
          <w:rFonts w:eastAsia="黑体" w:cs="Times New Roman"/>
          <w:sz w:val="32"/>
          <w:szCs w:val="32"/>
        </w:rPr>
        <w:t>60</w:t>
      </w:r>
      <w:r>
        <w:rPr>
          <w:rFonts w:eastAsia="黑体" w:cs="Times New Roman"/>
          <w:sz w:val="32"/>
          <w:szCs w:val="32"/>
        </w:rPr>
        <w:fldChar w:fldCharType="end"/>
      </w:r>
      <w:r>
        <w:rPr>
          <w:rFonts w:eastAsia="黑体" w:cs="Times New Roman"/>
          <w:sz w:val="32"/>
          <w:szCs w:val="32"/>
        </w:rPr>
        <w:fldChar w:fldCharType="end"/>
      </w:r>
    </w:p>
    <w:p w14:paraId="0258F359">
      <w:pPr>
        <w:pStyle w:val="14"/>
        <w:tabs>
          <w:tab w:val="right" w:leader="dot" w:pos="8844"/>
        </w:tabs>
        <w:spacing w:line="560" w:lineRule="exact"/>
        <w:ind w:firstLine="640"/>
        <w:rPr>
          <w:rFonts w:eastAsia="楷体_GB2312" w:cs="Times New Roman"/>
          <w:szCs w:val="32"/>
        </w:rPr>
      </w:pPr>
      <w:r>
        <w:rPr>
          <w:rFonts w:eastAsia="楷体_GB2312"/>
        </w:rPr>
        <w:fldChar w:fldCharType="begin"/>
      </w:r>
      <w:r>
        <w:rPr>
          <w:rFonts w:eastAsia="楷体_GB2312"/>
        </w:rPr>
        <w:instrText xml:space="preserve"> HYPERLINK \l "_Toc21275" </w:instrText>
      </w:r>
      <w:r>
        <w:rPr>
          <w:rFonts w:eastAsia="楷体_GB2312"/>
        </w:rPr>
        <w:fldChar w:fldCharType="separate"/>
      </w:r>
      <w:r>
        <w:rPr>
          <w:rFonts w:eastAsia="楷体_GB2312" w:cs="Times New Roman"/>
          <w:szCs w:val="32"/>
        </w:rPr>
        <w:t>第一节  打响“万事好通·马上办”营商环境品牌</w:t>
      </w:r>
      <w:r>
        <w:rPr>
          <w:rFonts w:eastAsia="楷体_GB2312" w:cs="Times New Roman"/>
          <w:szCs w:val="32"/>
        </w:rPr>
        <w:tab/>
      </w:r>
      <w:r>
        <w:rPr>
          <w:rFonts w:eastAsia="楷体_GB2312" w:cs="Times New Roman"/>
          <w:szCs w:val="32"/>
        </w:rPr>
        <w:fldChar w:fldCharType="begin"/>
      </w:r>
      <w:r>
        <w:rPr>
          <w:rFonts w:eastAsia="楷体_GB2312" w:cs="Times New Roman"/>
          <w:szCs w:val="32"/>
        </w:rPr>
        <w:instrText xml:space="preserve"> PAGEREF _Toc21275 \h </w:instrText>
      </w:r>
      <w:r>
        <w:rPr>
          <w:rFonts w:eastAsia="楷体_GB2312" w:cs="Times New Roman"/>
          <w:szCs w:val="32"/>
        </w:rPr>
        <w:fldChar w:fldCharType="separate"/>
      </w:r>
      <w:r>
        <w:rPr>
          <w:rFonts w:eastAsia="楷体_GB2312" w:cs="Times New Roman"/>
          <w:szCs w:val="32"/>
        </w:rPr>
        <w:t>60</w:t>
      </w:r>
      <w:r>
        <w:rPr>
          <w:rFonts w:eastAsia="楷体_GB2312" w:cs="Times New Roman"/>
          <w:szCs w:val="32"/>
        </w:rPr>
        <w:fldChar w:fldCharType="end"/>
      </w:r>
      <w:r>
        <w:rPr>
          <w:rFonts w:eastAsia="楷体_GB2312" w:cs="Times New Roman"/>
          <w:szCs w:val="32"/>
        </w:rPr>
        <w:fldChar w:fldCharType="end"/>
      </w:r>
    </w:p>
    <w:p w14:paraId="297C51EF">
      <w:pPr>
        <w:pStyle w:val="14"/>
        <w:tabs>
          <w:tab w:val="right" w:leader="dot" w:pos="8844"/>
        </w:tabs>
        <w:spacing w:line="560" w:lineRule="exact"/>
        <w:ind w:firstLine="640"/>
        <w:rPr>
          <w:rFonts w:eastAsia="楷体_GB2312" w:cs="Times New Roman"/>
          <w:szCs w:val="32"/>
        </w:rPr>
      </w:pPr>
      <w:r>
        <w:rPr>
          <w:rFonts w:eastAsia="楷体_GB2312"/>
        </w:rPr>
        <w:fldChar w:fldCharType="begin"/>
      </w:r>
      <w:r>
        <w:rPr>
          <w:rFonts w:eastAsia="楷体_GB2312"/>
        </w:rPr>
        <w:instrText xml:space="preserve"> HYPERLINK \l "_Toc20678" </w:instrText>
      </w:r>
      <w:r>
        <w:rPr>
          <w:rFonts w:eastAsia="楷体_GB2312"/>
        </w:rPr>
        <w:fldChar w:fldCharType="separate"/>
      </w:r>
      <w:r>
        <w:rPr>
          <w:rFonts w:eastAsia="楷体_GB2312" w:cs="Times New Roman"/>
          <w:szCs w:val="32"/>
        </w:rPr>
        <w:t>第二节  激发经营主体活力</w:t>
      </w:r>
      <w:r>
        <w:rPr>
          <w:rFonts w:eastAsia="楷体_GB2312" w:cs="Times New Roman"/>
          <w:szCs w:val="32"/>
        </w:rPr>
        <w:tab/>
      </w:r>
      <w:r>
        <w:rPr>
          <w:rFonts w:eastAsia="楷体_GB2312" w:cs="Times New Roman"/>
          <w:szCs w:val="32"/>
        </w:rPr>
        <w:fldChar w:fldCharType="begin"/>
      </w:r>
      <w:r>
        <w:rPr>
          <w:rFonts w:eastAsia="楷体_GB2312" w:cs="Times New Roman"/>
          <w:szCs w:val="32"/>
        </w:rPr>
        <w:instrText xml:space="preserve"> PAGEREF _Toc20678 \h </w:instrText>
      </w:r>
      <w:r>
        <w:rPr>
          <w:rFonts w:eastAsia="楷体_GB2312" w:cs="Times New Roman"/>
          <w:szCs w:val="32"/>
        </w:rPr>
        <w:fldChar w:fldCharType="separate"/>
      </w:r>
      <w:r>
        <w:rPr>
          <w:rFonts w:eastAsia="楷体_GB2312" w:cs="Times New Roman"/>
          <w:szCs w:val="32"/>
        </w:rPr>
        <w:t>61</w:t>
      </w:r>
      <w:r>
        <w:rPr>
          <w:rFonts w:eastAsia="楷体_GB2312" w:cs="Times New Roman"/>
          <w:szCs w:val="32"/>
        </w:rPr>
        <w:fldChar w:fldCharType="end"/>
      </w:r>
      <w:r>
        <w:rPr>
          <w:rFonts w:eastAsia="楷体_GB2312" w:cs="Times New Roman"/>
          <w:szCs w:val="32"/>
        </w:rPr>
        <w:fldChar w:fldCharType="end"/>
      </w:r>
    </w:p>
    <w:p w14:paraId="216004F0">
      <w:pPr>
        <w:pStyle w:val="14"/>
        <w:tabs>
          <w:tab w:val="right" w:leader="dot" w:pos="8844"/>
        </w:tabs>
        <w:spacing w:line="560" w:lineRule="exact"/>
        <w:ind w:firstLine="640"/>
        <w:rPr>
          <w:rFonts w:eastAsia="楷体_GB2312" w:cs="Times New Roman"/>
          <w:szCs w:val="32"/>
        </w:rPr>
      </w:pPr>
      <w:r>
        <w:rPr>
          <w:rFonts w:eastAsia="楷体_GB2312"/>
        </w:rPr>
        <w:fldChar w:fldCharType="begin"/>
      </w:r>
      <w:r>
        <w:rPr>
          <w:rFonts w:eastAsia="楷体_GB2312"/>
        </w:rPr>
        <w:instrText xml:space="preserve"> HYPERLINK \l "_Toc2630" </w:instrText>
      </w:r>
      <w:r>
        <w:rPr>
          <w:rFonts w:eastAsia="楷体_GB2312"/>
        </w:rPr>
        <w:fldChar w:fldCharType="separate"/>
      </w:r>
      <w:r>
        <w:rPr>
          <w:rFonts w:eastAsia="楷体_GB2312" w:cs="Times New Roman"/>
          <w:szCs w:val="32"/>
        </w:rPr>
        <w:t>第三节  抓好重点领域改革</w:t>
      </w:r>
      <w:r>
        <w:rPr>
          <w:rFonts w:eastAsia="楷体_GB2312" w:cs="Times New Roman"/>
          <w:szCs w:val="32"/>
        </w:rPr>
        <w:tab/>
      </w:r>
      <w:r>
        <w:rPr>
          <w:rFonts w:eastAsia="楷体_GB2312" w:cs="Times New Roman"/>
          <w:szCs w:val="32"/>
        </w:rPr>
        <w:fldChar w:fldCharType="begin"/>
      </w:r>
      <w:r>
        <w:rPr>
          <w:rFonts w:eastAsia="楷体_GB2312" w:cs="Times New Roman"/>
          <w:szCs w:val="32"/>
        </w:rPr>
        <w:instrText xml:space="preserve"> PAGEREF _Toc2630 \h </w:instrText>
      </w:r>
      <w:r>
        <w:rPr>
          <w:rFonts w:eastAsia="楷体_GB2312" w:cs="Times New Roman"/>
          <w:szCs w:val="32"/>
        </w:rPr>
        <w:fldChar w:fldCharType="separate"/>
      </w:r>
      <w:r>
        <w:rPr>
          <w:rFonts w:eastAsia="楷体_GB2312" w:cs="Times New Roman"/>
          <w:szCs w:val="32"/>
        </w:rPr>
        <w:t>62</w:t>
      </w:r>
      <w:r>
        <w:rPr>
          <w:rFonts w:eastAsia="楷体_GB2312" w:cs="Times New Roman"/>
          <w:szCs w:val="32"/>
        </w:rPr>
        <w:fldChar w:fldCharType="end"/>
      </w:r>
      <w:r>
        <w:rPr>
          <w:rFonts w:eastAsia="楷体_GB2312" w:cs="Times New Roman"/>
          <w:szCs w:val="32"/>
        </w:rPr>
        <w:fldChar w:fldCharType="end"/>
      </w:r>
    </w:p>
    <w:p w14:paraId="7BAA1DC3">
      <w:pPr>
        <w:pStyle w:val="11"/>
        <w:tabs>
          <w:tab w:val="right" w:leader="dot" w:pos="8844"/>
        </w:tabs>
        <w:spacing w:line="560" w:lineRule="exact"/>
        <w:rPr>
          <w:rFonts w:eastAsia="黑体" w:cs="Times New Roman"/>
          <w:sz w:val="32"/>
          <w:szCs w:val="32"/>
        </w:rPr>
      </w:pPr>
      <w:r>
        <w:rPr>
          <w:rFonts w:eastAsia="黑体"/>
        </w:rPr>
        <w:fldChar w:fldCharType="begin"/>
      </w:r>
      <w:r>
        <w:rPr>
          <w:rFonts w:eastAsia="黑体"/>
        </w:rPr>
        <w:instrText xml:space="preserve"> HYPERLINK \l "_Toc14100" </w:instrText>
      </w:r>
      <w:r>
        <w:rPr>
          <w:rFonts w:eastAsia="黑体"/>
        </w:rPr>
        <w:fldChar w:fldCharType="separate"/>
      </w:r>
      <w:r>
        <w:rPr>
          <w:rFonts w:eastAsia="黑体" w:cs="Times New Roman"/>
          <w:sz w:val="32"/>
          <w:szCs w:val="32"/>
        </w:rPr>
        <w:t>第九章  践行人民城市理念  建设江风海韵现代化魅力都市</w:t>
      </w:r>
      <w:r>
        <w:rPr>
          <w:rFonts w:eastAsia="黑体" w:cs="Times New Roman"/>
          <w:sz w:val="32"/>
          <w:szCs w:val="32"/>
        </w:rPr>
        <w:tab/>
      </w:r>
      <w:r>
        <w:rPr>
          <w:rFonts w:eastAsia="黑体" w:cs="Times New Roman"/>
          <w:sz w:val="32"/>
          <w:szCs w:val="32"/>
        </w:rPr>
        <w:fldChar w:fldCharType="begin"/>
      </w:r>
      <w:r>
        <w:rPr>
          <w:rFonts w:eastAsia="黑体" w:cs="Times New Roman"/>
          <w:sz w:val="32"/>
          <w:szCs w:val="32"/>
        </w:rPr>
        <w:instrText xml:space="preserve"> PAGEREF _Toc14100 \h </w:instrText>
      </w:r>
      <w:r>
        <w:rPr>
          <w:rFonts w:eastAsia="黑体" w:cs="Times New Roman"/>
          <w:sz w:val="32"/>
          <w:szCs w:val="32"/>
        </w:rPr>
        <w:fldChar w:fldCharType="separate"/>
      </w:r>
      <w:r>
        <w:rPr>
          <w:rFonts w:eastAsia="黑体" w:cs="Times New Roman"/>
          <w:sz w:val="32"/>
          <w:szCs w:val="32"/>
        </w:rPr>
        <w:t>65</w:t>
      </w:r>
      <w:r>
        <w:rPr>
          <w:rFonts w:eastAsia="黑体" w:cs="Times New Roman"/>
          <w:sz w:val="32"/>
          <w:szCs w:val="32"/>
        </w:rPr>
        <w:fldChar w:fldCharType="end"/>
      </w:r>
      <w:r>
        <w:rPr>
          <w:rFonts w:eastAsia="黑体" w:cs="Times New Roman"/>
          <w:sz w:val="32"/>
          <w:szCs w:val="32"/>
        </w:rPr>
        <w:fldChar w:fldCharType="end"/>
      </w:r>
    </w:p>
    <w:p w14:paraId="4844B2FB">
      <w:pPr>
        <w:pStyle w:val="14"/>
        <w:tabs>
          <w:tab w:val="right" w:leader="dot" w:pos="8844"/>
        </w:tabs>
        <w:spacing w:line="560" w:lineRule="exact"/>
        <w:ind w:firstLine="640"/>
        <w:rPr>
          <w:rFonts w:eastAsia="楷体_GB2312" w:cs="Times New Roman"/>
          <w:szCs w:val="32"/>
        </w:rPr>
      </w:pPr>
      <w:r>
        <w:rPr>
          <w:rFonts w:eastAsia="楷体_GB2312"/>
        </w:rPr>
        <w:fldChar w:fldCharType="begin"/>
      </w:r>
      <w:r>
        <w:rPr>
          <w:rFonts w:eastAsia="楷体_GB2312"/>
        </w:rPr>
        <w:instrText xml:space="preserve"> HYPERLINK \l "_Toc1998" </w:instrText>
      </w:r>
      <w:r>
        <w:rPr>
          <w:rFonts w:eastAsia="楷体_GB2312"/>
        </w:rPr>
        <w:fldChar w:fldCharType="separate"/>
      </w:r>
      <w:r>
        <w:rPr>
          <w:rFonts w:eastAsia="楷体_GB2312" w:cs="Times New Roman"/>
          <w:szCs w:val="32"/>
        </w:rPr>
        <w:t>第一节  构建完善“一主三副，两带六组团”总体格局</w:t>
      </w:r>
      <w:r>
        <w:rPr>
          <w:rFonts w:eastAsia="楷体_GB2312" w:cs="Times New Roman"/>
          <w:szCs w:val="32"/>
        </w:rPr>
        <w:tab/>
      </w:r>
      <w:r>
        <w:rPr>
          <w:rFonts w:eastAsia="楷体_GB2312" w:cs="Times New Roman"/>
          <w:szCs w:val="32"/>
        </w:rPr>
        <w:fldChar w:fldCharType="begin"/>
      </w:r>
      <w:r>
        <w:rPr>
          <w:rFonts w:eastAsia="楷体_GB2312" w:cs="Times New Roman"/>
          <w:szCs w:val="32"/>
        </w:rPr>
        <w:instrText xml:space="preserve"> PAGEREF _Toc1998 \h </w:instrText>
      </w:r>
      <w:r>
        <w:rPr>
          <w:rFonts w:eastAsia="楷体_GB2312" w:cs="Times New Roman"/>
          <w:szCs w:val="32"/>
        </w:rPr>
        <w:fldChar w:fldCharType="separate"/>
      </w:r>
      <w:r>
        <w:rPr>
          <w:rFonts w:eastAsia="楷体_GB2312" w:cs="Times New Roman"/>
          <w:szCs w:val="32"/>
        </w:rPr>
        <w:t>65</w:t>
      </w:r>
      <w:r>
        <w:rPr>
          <w:rFonts w:eastAsia="楷体_GB2312" w:cs="Times New Roman"/>
          <w:szCs w:val="32"/>
        </w:rPr>
        <w:fldChar w:fldCharType="end"/>
      </w:r>
      <w:r>
        <w:rPr>
          <w:rFonts w:eastAsia="楷体_GB2312" w:cs="Times New Roman"/>
          <w:szCs w:val="32"/>
        </w:rPr>
        <w:fldChar w:fldCharType="end"/>
      </w:r>
    </w:p>
    <w:p w14:paraId="0E932BD1">
      <w:pPr>
        <w:pStyle w:val="14"/>
        <w:tabs>
          <w:tab w:val="right" w:leader="dot" w:pos="8844"/>
        </w:tabs>
        <w:spacing w:line="560" w:lineRule="exact"/>
        <w:ind w:firstLine="640"/>
        <w:rPr>
          <w:rFonts w:eastAsia="楷体_GB2312" w:cs="Times New Roman"/>
          <w:szCs w:val="32"/>
        </w:rPr>
      </w:pPr>
      <w:r>
        <w:rPr>
          <w:rFonts w:eastAsia="楷体_GB2312"/>
        </w:rPr>
        <w:fldChar w:fldCharType="begin"/>
      </w:r>
      <w:r>
        <w:rPr>
          <w:rFonts w:eastAsia="楷体_GB2312"/>
        </w:rPr>
        <w:instrText xml:space="preserve"> HYPERLINK \l "_Toc31650" </w:instrText>
      </w:r>
      <w:r>
        <w:rPr>
          <w:rFonts w:eastAsia="楷体_GB2312"/>
        </w:rPr>
        <w:fldChar w:fldCharType="separate"/>
      </w:r>
      <w:r>
        <w:rPr>
          <w:rFonts w:eastAsia="楷体_GB2312" w:cs="Times New Roman"/>
          <w:szCs w:val="32"/>
        </w:rPr>
        <w:t>第二节  建设舒适便利的宜居城市</w:t>
      </w:r>
      <w:r>
        <w:rPr>
          <w:rFonts w:eastAsia="楷体_GB2312" w:cs="Times New Roman"/>
          <w:szCs w:val="32"/>
        </w:rPr>
        <w:tab/>
      </w:r>
      <w:r>
        <w:rPr>
          <w:rFonts w:eastAsia="楷体_GB2312" w:cs="Times New Roman"/>
          <w:szCs w:val="32"/>
        </w:rPr>
        <w:fldChar w:fldCharType="begin"/>
      </w:r>
      <w:r>
        <w:rPr>
          <w:rFonts w:eastAsia="楷体_GB2312" w:cs="Times New Roman"/>
          <w:szCs w:val="32"/>
        </w:rPr>
        <w:instrText xml:space="preserve"> PAGEREF _Toc31650 \h </w:instrText>
      </w:r>
      <w:r>
        <w:rPr>
          <w:rFonts w:eastAsia="楷体_GB2312" w:cs="Times New Roman"/>
          <w:szCs w:val="32"/>
        </w:rPr>
        <w:fldChar w:fldCharType="separate"/>
      </w:r>
      <w:r>
        <w:rPr>
          <w:rFonts w:eastAsia="楷体_GB2312" w:cs="Times New Roman"/>
          <w:szCs w:val="32"/>
        </w:rPr>
        <w:t>68</w:t>
      </w:r>
      <w:r>
        <w:rPr>
          <w:rFonts w:eastAsia="楷体_GB2312" w:cs="Times New Roman"/>
          <w:szCs w:val="32"/>
        </w:rPr>
        <w:fldChar w:fldCharType="end"/>
      </w:r>
      <w:r>
        <w:rPr>
          <w:rFonts w:eastAsia="楷体_GB2312" w:cs="Times New Roman"/>
          <w:szCs w:val="32"/>
        </w:rPr>
        <w:fldChar w:fldCharType="end"/>
      </w:r>
    </w:p>
    <w:p w14:paraId="3F04A23B">
      <w:pPr>
        <w:pStyle w:val="14"/>
        <w:tabs>
          <w:tab w:val="right" w:leader="dot" w:pos="8844"/>
        </w:tabs>
        <w:spacing w:line="560" w:lineRule="exact"/>
        <w:ind w:firstLine="640"/>
        <w:rPr>
          <w:rFonts w:eastAsia="楷体_GB2312" w:cs="Times New Roman"/>
          <w:szCs w:val="32"/>
        </w:rPr>
      </w:pPr>
      <w:r>
        <w:rPr>
          <w:rFonts w:eastAsia="楷体_GB2312"/>
        </w:rPr>
        <w:fldChar w:fldCharType="begin"/>
      </w:r>
      <w:r>
        <w:rPr>
          <w:rFonts w:eastAsia="楷体_GB2312"/>
        </w:rPr>
        <w:instrText xml:space="preserve"> HYPERLINK \l "_Toc27594" </w:instrText>
      </w:r>
      <w:r>
        <w:rPr>
          <w:rFonts w:eastAsia="楷体_GB2312"/>
        </w:rPr>
        <w:fldChar w:fldCharType="separate"/>
      </w:r>
      <w:r>
        <w:rPr>
          <w:rFonts w:eastAsia="楷体_GB2312" w:cs="Times New Roman"/>
          <w:szCs w:val="32"/>
        </w:rPr>
        <w:t>第三节  建设绿色生态的美丽城市</w:t>
      </w:r>
      <w:r>
        <w:rPr>
          <w:rFonts w:eastAsia="楷体_GB2312" w:cs="Times New Roman"/>
          <w:szCs w:val="32"/>
        </w:rPr>
        <w:tab/>
      </w:r>
      <w:r>
        <w:rPr>
          <w:rFonts w:eastAsia="楷体_GB2312" w:cs="Times New Roman"/>
          <w:szCs w:val="32"/>
        </w:rPr>
        <w:fldChar w:fldCharType="begin"/>
      </w:r>
      <w:r>
        <w:rPr>
          <w:rFonts w:eastAsia="楷体_GB2312" w:cs="Times New Roman"/>
          <w:szCs w:val="32"/>
        </w:rPr>
        <w:instrText xml:space="preserve"> PAGEREF _Toc27594 \h </w:instrText>
      </w:r>
      <w:r>
        <w:rPr>
          <w:rFonts w:eastAsia="楷体_GB2312" w:cs="Times New Roman"/>
          <w:szCs w:val="32"/>
        </w:rPr>
        <w:fldChar w:fldCharType="separate"/>
      </w:r>
      <w:r>
        <w:rPr>
          <w:rFonts w:eastAsia="楷体_GB2312" w:cs="Times New Roman"/>
          <w:szCs w:val="32"/>
        </w:rPr>
        <w:t>70</w:t>
      </w:r>
      <w:r>
        <w:rPr>
          <w:rFonts w:eastAsia="楷体_GB2312" w:cs="Times New Roman"/>
          <w:szCs w:val="32"/>
        </w:rPr>
        <w:fldChar w:fldCharType="end"/>
      </w:r>
      <w:r>
        <w:rPr>
          <w:rFonts w:eastAsia="楷体_GB2312" w:cs="Times New Roman"/>
          <w:szCs w:val="32"/>
        </w:rPr>
        <w:fldChar w:fldCharType="end"/>
      </w:r>
    </w:p>
    <w:p w14:paraId="2FD078D7">
      <w:pPr>
        <w:pStyle w:val="14"/>
        <w:tabs>
          <w:tab w:val="right" w:leader="dot" w:pos="8844"/>
        </w:tabs>
        <w:spacing w:line="560" w:lineRule="exact"/>
        <w:ind w:firstLine="640"/>
        <w:rPr>
          <w:rFonts w:eastAsia="楷体_GB2312" w:cs="Times New Roman"/>
          <w:szCs w:val="32"/>
        </w:rPr>
      </w:pPr>
      <w:r>
        <w:rPr>
          <w:rFonts w:eastAsia="楷体_GB2312"/>
        </w:rPr>
        <w:fldChar w:fldCharType="begin"/>
      </w:r>
      <w:r>
        <w:rPr>
          <w:rFonts w:eastAsia="楷体_GB2312"/>
        </w:rPr>
        <w:instrText xml:space="preserve"> HYPERLINK \l "_Toc32595" </w:instrText>
      </w:r>
      <w:r>
        <w:rPr>
          <w:rFonts w:eastAsia="楷体_GB2312"/>
        </w:rPr>
        <w:fldChar w:fldCharType="separate"/>
      </w:r>
      <w:r>
        <w:rPr>
          <w:rFonts w:eastAsia="楷体_GB2312" w:cs="Times New Roman"/>
          <w:szCs w:val="32"/>
        </w:rPr>
        <w:t>第四节  建设安全可靠的韧性城市</w:t>
      </w:r>
      <w:r>
        <w:rPr>
          <w:rFonts w:eastAsia="楷体_GB2312" w:cs="Times New Roman"/>
          <w:szCs w:val="32"/>
        </w:rPr>
        <w:tab/>
      </w:r>
      <w:r>
        <w:rPr>
          <w:rFonts w:eastAsia="楷体_GB2312" w:cs="Times New Roman"/>
          <w:szCs w:val="32"/>
        </w:rPr>
        <w:fldChar w:fldCharType="begin"/>
      </w:r>
      <w:r>
        <w:rPr>
          <w:rFonts w:eastAsia="楷体_GB2312" w:cs="Times New Roman"/>
          <w:szCs w:val="32"/>
        </w:rPr>
        <w:instrText xml:space="preserve"> PAGEREF _Toc32595 \h </w:instrText>
      </w:r>
      <w:r>
        <w:rPr>
          <w:rFonts w:eastAsia="楷体_GB2312" w:cs="Times New Roman"/>
          <w:szCs w:val="32"/>
        </w:rPr>
        <w:fldChar w:fldCharType="separate"/>
      </w:r>
      <w:r>
        <w:rPr>
          <w:rFonts w:eastAsia="楷体_GB2312" w:cs="Times New Roman"/>
          <w:szCs w:val="32"/>
        </w:rPr>
        <w:t>70</w:t>
      </w:r>
      <w:r>
        <w:rPr>
          <w:rFonts w:eastAsia="楷体_GB2312" w:cs="Times New Roman"/>
          <w:szCs w:val="32"/>
        </w:rPr>
        <w:fldChar w:fldCharType="end"/>
      </w:r>
      <w:r>
        <w:rPr>
          <w:rFonts w:eastAsia="楷体_GB2312" w:cs="Times New Roman"/>
          <w:szCs w:val="32"/>
        </w:rPr>
        <w:fldChar w:fldCharType="end"/>
      </w:r>
    </w:p>
    <w:p w14:paraId="6BB8ADEA">
      <w:pPr>
        <w:pStyle w:val="11"/>
        <w:tabs>
          <w:tab w:val="right" w:leader="dot" w:pos="8844"/>
        </w:tabs>
        <w:spacing w:line="560" w:lineRule="exact"/>
        <w:rPr>
          <w:rFonts w:eastAsia="黑体" w:cs="Times New Roman"/>
          <w:sz w:val="32"/>
          <w:szCs w:val="32"/>
        </w:rPr>
      </w:pPr>
      <w:r>
        <w:rPr>
          <w:rFonts w:eastAsia="黑体"/>
        </w:rPr>
        <w:fldChar w:fldCharType="begin"/>
      </w:r>
      <w:r>
        <w:rPr>
          <w:rFonts w:eastAsia="黑体"/>
        </w:rPr>
        <w:instrText xml:space="preserve"> HYPERLINK \l "_Toc998" </w:instrText>
      </w:r>
      <w:r>
        <w:rPr>
          <w:rFonts w:eastAsia="黑体"/>
        </w:rPr>
        <w:fldChar w:fldCharType="separate"/>
      </w:r>
      <w:r>
        <w:rPr>
          <w:rFonts w:eastAsia="黑体" w:cs="Times New Roman"/>
          <w:spacing w:val="-11"/>
          <w:sz w:val="32"/>
          <w:szCs w:val="32"/>
        </w:rPr>
        <w:t>第十章  扎实推进乡村全面振兴  打造“新时代鱼米之乡”海门样板</w:t>
      </w:r>
      <w:r>
        <w:rPr>
          <w:rFonts w:eastAsia="黑体" w:cs="Times New Roman"/>
          <w:sz w:val="32"/>
          <w:szCs w:val="32"/>
        </w:rPr>
        <w:tab/>
      </w:r>
      <w:r>
        <w:rPr>
          <w:rFonts w:eastAsia="黑体" w:cs="Times New Roman"/>
          <w:sz w:val="32"/>
          <w:szCs w:val="32"/>
        </w:rPr>
        <w:fldChar w:fldCharType="begin"/>
      </w:r>
      <w:r>
        <w:rPr>
          <w:rFonts w:eastAsia="黑体" w:cs="Times New Roman"/>
          <w:sz w:val="32"/>
          <w:szCs w:val="32"/>
        </w:rPr>
        <w:instrText xml:space="preserve"> PAGEREF _Toc998 \h </w:instrText>
      </w:r>
      <w:r>
        <w:rPr>
          <w:rFonts w:eastAsia="黑体" w:cs="Times New Roman"/>
          <w:sz w:val="32"/>
          <w:szCs w:val="32"/>
        </w:rPr>
        <w:fldChar w:fldCharType="separate"/>
      </w:r>
      <w:r>
        <w:rPr>
          <w:rFonts w:eastAsia="黑体" w:cs="Times New Roman"/>
          <w:sz w:val="32"/>
          <w:szCs w:val="32"/>
        </w:rPr>
        <w:t>73</w:t>
      </w:r>
      <w:r>
        <w:rPr>
          <w:rFonts w:eastAsia="黑体" w:cs="Times New Roman"/>
          <w:sz w:val="32"/>
          <w:szCs w:val="32"/>
        </w:rPr>
        <w:fldChar w:fldCharType="end"/>
      </w:r>
      <w:r>
        <w:rPr>
          <w:rFonts w:eastAsia="黑体" w:cs="Times New Roman"/>
          <w:sz w:val="32"/>
          <w:szCs w:val="32"/>
        </w:rPr>
        <w:fldChar w:fldCharType="end"/>
      </w:r>
    </w:p>
    <w:p w14:paraId="26F4D3BC">
      <w:pPr>
        <w:pStyle w:val="14"/>
        <w:tabs>
          <w:tab w:val="right" w:leader="dot" w:pos="8844"/>
        </w:tabs>
        <w:spacing w:line="560" w:lineRule="exact"/>
        <w:ind w:firstLine="640"/>
        <w:rPr>
          <w:rFonts w:eastAsia="楷体_GB2312" w:cs="Times New Roman"/>
          <w:szCs w:val="32"/>
        </w:rPr>
      </w:pPr>
      <w:r>
        <w:rPr>
          <w:rFonts w:eastAsia="楷体_GB2312"/>
        </w:rPr>
        <w:fldChar w:fldCharType="begin"/>
      </w:r>
      <w:r>
        <w:rPr>
          <w:rFonts w:eastAsia="楷体_GB2312"/>
        </w:rPr>
        <w:instrText xml:space="preserve"> HYPERLINK \l "_Toc14104" </w:instrText>
      </w:r>
      <w:r>
        <w:rPr>
          <w:rFonts w:eastAsia="楷体_GB2312"/>
        </w:rPr>
        <w:fldChar w:fldCharType="separate"/>
      </w:r>
      <w:r>
        <w:rPr>
          <w:rFonts w:eastAsia="楷体_GB2312" w:cs="Times New Roman"/>
          <w:szCs w:val="32"/>
        </w:rPr>
        <w:t>第一节  打造“五强”农业强区</w:t>
      </w:r>
      <w:r>
        <w:rPr>
          <w:rFonts w:eastAsia="楷体_GB2312" w:cs="Times New Roman"/>
          <w:szCs w:val="32"/>
        </w:rPr>
        <w:tab/>
      </w:r>
      <w:r>
        <w:rPr>
          <w:rFonts w:eastAsia="楷体_GB2312" w:cs="Times New Roman"/>
          <w:szCs w:val="32"/>
        </w:rPr>
        <w:fldChar w:fldCharType="begin"/>
      </w:r>
      <w:r>
        <w:rPr>
          <w:rFonts w:eastAsia="楷体_GB2312" w:cs="Times New Roman"/>
          <w:szCs w:val="32"/>
        </w:rPr>
        <w:instrText xml:space="preserve"> PAGEREF _Toc14104 \h </w:instrText>
      </w:r>
      <w:r>
        <w:rPr>
          <w:rFonts w:eastAsia="楷体_GB2312" w:cs="Times New Roman"/>
          <w:szCs w:val="32"/>
        </w:rPr>
        <w:fldChar w:fldCharType="separate"/>
      </w:r>
      <w:r>
        <w:rPr>
          <w:rFonts w:eastAsia="楷体_GB2312" w:cs="Times New Roman"/>
          <w:szCs w:val="32"/>
        </w:rPr>
        <w:t>73</w:t>
      </w:r>
      <w:r>
        <w:rPr>
          <w:rFonts w:eastAsia="楷体_GB2312" w:cs="Times New Roman"/>
          <w:szCs w:val="32"/>
        </w:rPr>
        <w:fldChar w:fldCharType="end"/>
      </w:r>
      <w:r>
        <w:rPr>
          <w:rFonts w:eastAsia="楷体_GB2312" w:cs="Times New Roman"/>
          <w:szCs w:val="32"/>
        </w:rPr>
        <w:fldChar w:fldCharType="end"/>
      </w:r>
    </w:p>
    <w:p w14:paraId="196B922A">
      <w:pPr>
        <w:pStyle w:val="14"/>
        <w:tabs>
          <w:tab w:val="right" w:leader="dot" w:pos="8844"/>
        </w:tabs>
        <w:spacing w:line="560" w:lineRule="exact"/>
        <w:ind w:firstLine="640"/>
        <w:rPr>
          <w:rFonts w:eastAsia="楷体_GB2312" w:cs="Times New Roman"/>
          <w:szCs w:val="32"/>
        </w:rPr>
      </w:pPr>
      <w:r>
        <w:rPr>
          <w:rFonts w:eastAsia="楷体_GB2312"/>
        </w:rPr>
        <w:fldChar w:fldCharType="begin"/>
      </w:r>
      <w:r>
        <w:rPr>
          <w:rFonts w:eastAsia="楷体_GB2312"/>
        </w:rPr>
        <w:instrText xml:space="preserve"> HYPERLINK \l "_Toc8053" </w:instrText>
      </w:r>
      <w:r>
        <w:rPr>
          <w:rFonts w:eastAsia="楷体_GB2312"/>
        </w:rPr>
        <w:fldChar w:fldCharType="separate"/>
      </w:r>
      <w:r>
        <w:rPr>
          <w:rFonts w:eastAsia="楷体_GB2312" w:cs="Times New Roman"/>
          <w:szCs w:val="32"/>
        </w:rPr>
        <w:t>第二节  建设宜居宜业和美乡村</w:t>
      </w:r>
      <w:r>
        <w:rPr>
          <w:rFonts w:eastAsia="楷体_GB2312" w:cs="Times New Roman"/>
          <w:szCs w:val="32"/>
        </w:rPr>
        <w:tab/>
      </w:r>
      <w:r>
        <w:rPr>
          <w:rFonts w:eastAsia="楷体_GB2312" w:cs="Times New Roman"/>
          <w:szCs w:val="32"/>
        </w:rPr>
        <w:fldChar w:fldCharType="begin"/>
      </w:r>
      <w:r>
        <w:rPr>
          <w:rFonts w:eastAsia="楷体_GB2312" w:cs="Times New Roman"/>
          <w:szCs w:val="32"/>
        </w:rPr>
        <w:instrText xml:space="preserve"> PAGEREF _Toc8053 \h </w:instrText>
      </w:r>
      <w:r>
        <w:rPr>
          <w:rFonts w:eastAsia="楷体_GB2312" w:cs="Times New Roman"/>
          <w:szCs w:val="32"/>
        </w:rPr>
        <w:fldChar w:fldCharType="separate"/>
      </w:r>
      <w:r>
        <w:rPr>
          <w:rFonts w:eastAsia="楷体_GB2312" w:cs="Times New Roman"/>
          <w:szCs w:val="32"/>
        </w:rPr>
        <w:t>76</w:t>
      </w:r>
      <w:r>
        <w:rPr>
          <w:rFonts w:eastAsia="楷体_GB2312" w:cs="Times New Roman"/>
          <w:szCs w:val="32"/>
        </w:rPr>
        <w:fldChar w:fldCharType="end"/>
      </w:r>
      <w:r>
        <w:rPr>
          <w:rFonts w:eastAsia="楷体_GB2312" w:cs="Times New Roman"/>
          <w:szCs w:val="32"/>
        </w:rPr>
        <w:fldChar w:fldCharType="end"/>
      </w:r>
    </w:p>
    <w:p w14:paraId="4ED317F2">
      <w:pPr>
        <w:pStyle w:val="14"/>
        <w:tabs>
          <w:tab w:val="right" w:leader="dot" w:pos="8844"/>
        </w:tabs>
        <w:spacing w:line="560" w:lineRule="exact"/>
        <w:ind w:firstLine="640"/>
        <w:rPr>
          <w:rFonts w:eastAsia="楷体_GB2312" w:cs="Times New Roman"/>
          <w:szCs w:val="32"/>
        </w:rPr>
      </w:pPr>
      <w:r>
        <w:rPr>
          <w:rFonts w:eastAsia="楷体_GB2312"/>
        </w:rPr>
        <w:fldChar w:fldCharType="begin"/>
      </w:r>
      <w:r>
        <w:rPr>
          <w:rFonts w:eastAsia="楷体_GB2312"/>
        </w:rPr>
        <w:instrText xml:space="preserve"> HYPERLINK \l "_Toc21106" </w:instrText>
      </w:r>
      <w:r>
        <w:rPr>
          <w:rFonts w:eastAsia="楷体_GB2312"/>
        </w:rPr>
        <w:fldChar w:fldCharType="separate"/>
      </w:r>
      <w:r>
        <w:rPr>
          <w:rFonts w:eastAsia="楷体_GB2312" w:cs="Times New Roman"/>
          <w:szCs w:val="32"/>
        </w:rPr>
        <w:t>第三节  放大农村综合改革集成效应</w:t>
      </w:r>
      <w:r>
        <w:rPr>
          <w:rFonts w:eastAsia="楷体_GB2312" w:cs="Times New Roman"/>
          <w:szCs w:val="32"/>
        </w:rPr>
        <w:tab/>
      </w:r>
      <w:r>
        <w:rPr>
          <w:rFonts w:eastAsia="楷体_GB2312" w:cs="Times New Roman"/>
          <w:szCs w:val="32"/>
        </w:rPr>
        <w:fldChar w:fldCharType="begin"/>
      </w:r>
      <w:r>
        <w:rPr>
          <w:rFonts w:eastAsia="楷体_GB2312" w:cs="Times New Roman"/>
          <w:szCs w:val="32"/>
        </w:rPr>
        <w:instrText xml:space="preserve"> PAGEREF _Toc21106 \h </w:instrText>
      </w:r>
      <w:r>
        <w:rPr>
          <w:rFonts w:eastAsia="楷体_GB2312" w:cs="Times New Roman"/>
          <w:szCs w:val="32"/>
        </w:rPr>
        <w:fldChar w:fldCharType="separate"/>
      </w:r>
      <w:r>
        <w:rPr>
          <w:rFonts w:eastAsia="楷体_GB2312" w:cs="Times New Roman"/>
          <w:szCs w:val="32"/>
        </w:rPr>
        <w:t>77</w:t>
      </w:r>
      <w:r>
        <w:rPr>
          <w:rFonts w:eastAsia="楷体_GB2312" w:cs="Times New Roman"/>
          <w:szCs w:val="32"/>
        </w:rPr>
        <w:fldChar w:fldCharType="end"/>
      </w:r>
      <w:r>
        <w:rPr>
          <w:rFonts w:eastAsia="楷体_GB2312" w:cs="Times New Roman"/>
          <w:szCs w:val="32"/>
        </w:rPr>
        <w:fldChar w:fldCharType="end"/>
      </w:r>
    </w:p>
    <w:p w14:paraId="134A6BB8">
      <w:pPr>
        <w:pStyle w:val="11"/>
        <w:tabs>
          <w:tab w:val="right" w:leader="dot" w:pos="8844"/>
        </w:tabs>
        <w:spacing w:line="560" w:lineRule="exact"/>
        <w:rPr>
          <w:rFonts w:eastAsia="黑体" w:cs="Times New Roman"/>
          <w:sz w:val="32"/>
          <w:szCs w:val="32"/>
        </w:rPr>
      </w:pPr>
      <w:r>
        <w:rPr>
          <w:rFonts w:eastAsia="黑体"/>
        </w:rPr>
        <w:fldChar w:fldCharType="begin"/>
      </w:r>
      <w:r>
        <w:rPr>
          <w:rFonts w:eastAsia="黑体"/>
        </w:rPr>
        <w:instrText xml:space="preserve"> HYPERLINK \l "_Toc24430" </w:instrText>
      </w:r>
      <w:r>
        <w:rPr>
          <w:rFonts w:eastAsia="黑体"/>
        </w:rPr>
        <w:fldChar w:fldCharType="separate"/>
      </w:r>
      <w:r>
        <w:rPr>
          <w:rFonts w:eastAsia="黑体" w:cs="Times New Roman"/>
          <w:sz w:val="32"/>
          <w:szCs w:val="32"/>
        </w:rPr>
        <w:t>第十一章  推进人文经济学海门新实践  更好以文化赋能经济社会发展</w:t>
      </w:r>
      <w:r>
        <w:rPr>
          <w:rFonts w:eastAsia="黑体" w:cs="Times New Roman"/>
          <w:sz w:val="32"/>
          <w:szCs w:val="32"/>
        </w:rPr>
        <w:tab/>
      </w:r>
      <w:r>
        <w:rPr>
          <w:rFonts w:eastAsia="黑体" w:cs="Times New Roman"/>
          <w:sz w:val="32"/>
          <w:szCs w:val="32"/>
        </w:rPr>
        <w:fldChar w:fldCharType="begin"/>
      </w:r>
      <w:r>
        <w:rPr>
          <w:rFonts w:eastAsia="黑体" w:cs="Times New Roman"/>
          <w:sz w:val="32"/>
          <w:szCs w:val="32"/>
        </w:rPr>
        <w:instrText xml:space="preserve"> PAGEREF _Toc24430 \h </w:instrText>
      </w:r>
      <w:r>
        <w:rPr>
          <w:rFonts w:eastAsia="黑体" w:cs="Times New Roman"/>
          <w:sz w:val="32"/>
          <w:szCs w:val="32"/>
        </w:rPr>
        <w:fldChar w:fldCharType="separate"/>
      </w:r>
      <w:r>
        <w:rPr>
          <w:rFonts w:eastAsia="黑体" w:cs="Times New Roman"/>
          <w:sz w:val="32"/>
          <w:szCs w:val="32"/>
        </w:rPr>
        <w:t>79</w:t>
      </w:r>
      <w:r>
        <w:rPr>
          <w:rFonts w:eastAsia="黑体" w:cs="Times New Roman"/>
          <w:sz w:val="32"/>
          <w:szCs w:val="32"/>
        </w:rPr>
        <w:fldChar w:fldCharType="end"/>
      </w:r>
      <w:r>
        <w:rPr>
          <w:rFonts w:eastAsia="黑体" w:cs="Times New Roman"/>
          <w:sz w:val="32"/>
          <w:szCs w:val="32"/>
        </w:rPr>
        <w:fldChar w:fldCharType="end"/>
      </w:r>
    </w:p>
    <w:p w14:paraId="29132C4A">
      <w:pPr>
        <w:pStyle w:val="14"/>
        <w:tabs>
          <w:tab w:val="right" w:leader="dot" w:pos="8844"/>
        </w:tabs>
        <w:spacing w:line="560" w:lineRule="exact"/>
        <w:ind w:firstLine="640"/>
        <w:rPr>
          <w:rFonts w:eastAsia="楷体_GB2312" w:cs="Times New Roman"/>
          <w:szCs w:val="32"/>
        </w:rPr>
      </w:pPr>
      <w:r>
        <w:rPr>
          <w:rFonts w:eastAsia="楷体_GB2312"/>
        </w:rPr>
        <w:fldChar w:fldCharType="begin"/>
      </w:r>
      <w:r>
        <w:rPr>
          <w:rFonts w:eastAsia="楷体_GB2312"/>
        </w:rPr>
        <w:instrText xml:space="preserve"> HYPERLINK \l "_Toc18451" </w:instrText>
      </w:r>
      <w:r>
        <w:rPr>
          <w:rFonts w:eastAsia="楷体_GB2312"/>
        </w:rPr>
        <w:fldChar w:fldCharType="separate"/>
      </w:r>
      <w:r>
        <w:rPr>
          <w:rFonts w:eastAsia="楷体_GB2312" w:cs="Times New Roman"/>
          <w:szCs w:val="32"/>
        </w:rPr>
        <w:t>第一节  强化思想价值引领</w:t>
      </w:r>
      <w:r>
        <w:rPr>
          <w:rFonts w:eastAsia="楷体_GB2312" w:cs="Times New Roman"/>
          <w:szCs w:val="32"/>
        </w:rPr>
        <w:tab/>
      </w:r>
      <w:r>
        <w:rPr>
          <w:rFonts w:eastAsia="楷体_GB2312" w:cs="Times New Roman"/>
          <w:szCs w:val="32"/>
        </w:rPr>
        <w:fldChar w:fldCharType="begin"/>
      </w:r>
      <w:r>
        <w:rPr>
          <w:rFonts w:eastAsia="楷体_GB2312" w:cs="Times New Roman"/>
          <w:szCs w:val="32"/>
        </w:rPr>
        <w:instrText xml:space="preserve"> PAGEREF _Toc18451 \h </w:instrText>
      </w:r>
      <w:r>
        <w:rPr>
          <w:rFonts w:eastAsia="楷体_GB2312" w:cs="Times New Roman"/>
          <w:szCs w:val="32"/>
        </w:rPr>
        <w:fldChar w:fldCharType="separate"/>
      </w:r>
      <w:r>
        <w:rPr>
          <w:rFonts w:eastAsia="楷体_GB2312" w:cs="Times New Roman"/>
          <w:szCs w:val="32"/>
        </w:rPr>
        <w:t>79</w:t>
      </w:r>
      <w:r>
        <w:rPr>
          <w:rFonts w:eastAsia="楷体_GB2312" w:cs="Times New Roman"/>
          <w:szCs w:val="32"/>
        </w:rPr>
        <w:fldChar w:fldCharType="end"/>
      </w:r>
      <w:r>
        <w:rPr>
          <w:rFonts w:eastAsia="楷体_GB2312" w:cs="Times New Roman"/>
          <w:szCs w:val="32"/>
        </w:rPr>
        <w:fldChar w:fldCharType="end"/>
      </w:r>
    </w:p>
    <w:p w14:paraId="5F96E06F">
      <w:pPr>
        <w:pStyle w:val="14"/>
        <w:tabs>
          <w:tab w:val="right" w:leader="dot" w:pos="8844"/>
        </w:tabs>
        <w:spacing w:line="560" w:lineRule="exact"/>
        <w:ind w:firstLine="640"/>
        <w:rPr>
          <w:rFonts w:eastAsia="楷体_GB2312" w:cs="Times New Roman"/>
          <w:szCs w:val="32"/>
        </w:rPr>
      </w:pPr>
      <w:r>
        <w:rPr>
          <w:rFonts w:eastAsia="楷体_GB2312"/>
        </w:rPr>
        <w:fldChar w:fldCharType="begin"/>
      </w:r>
      <w:r>
        <w:rPr>
          <w:rFonts w:eastAsia="楷体_GB2312"/>
        </w:rPr>
        <w:instrText xml:space="preserve"> HYPERLINK \l "_Toc6916" </w:instrText>
      </w:r>
      <w:r>
        <w:rPr>
          <w:rFonts w:eastAsia="楷体_GB2312"/>
        </w:rPr>
        <w:fldChar w:fldCharType="separate"/>
      </w:r>
      <w:r>
        <w:rPr>
          <w:rFonts w:eastAsia="楷体_GB2312" w:cs="Times New Roman"/>
          <w:szCs w:val="32"/>
        </w:rPr>
        <w:t>第二节  打造城市文化名片</w:t>
      </w:r>
      <w:r>
        <w:rPr>
          <w:rFonts w:eastAsia="楷体_GB2312" w:cs="Times New Roman"/>
          <w:szCs w:val="32"/>
        </w:rPr>
        <w:tab/>
      </w:r>
      <w:r>
        <w:rPr>
          <w:rFonts w:eastAsia="楷体_GB2312" w:cs="Times New Roman"/>
          <w:szCs w:val="32"/>
        </w:rPr>
        <w:fldChar w:fldCharType="begin"/>
      </w:r>
      <w:r>
        <w:rPr>
          <w:rFonts w:eastAsia="楷体_GB2312" w:cs="Times New Roman"/>
          <w:szCs w:val="32"/>
        </w:rPr>
        <w:instrText xml:space="preserve"> PAGEREF _Toc6916 \h </w:instrText>
      </w:r>
      <w:r>
        <w:rPr>
          <w:rFonts w:eastAsia="楷体_GB2312" w:cs="Times New Roman"/>
          <w:szCs w:val="32"/>
        </w:rPr>
        <w:fldChar w:fldCharType="separate"/>
      </w:r>
      <w:r>
        <w:rPr>
          <w:rFonts w:eastAsia="楷体_GB2312" w:cs="Times New Roman"/>
          <w:szCs w:val="32"/>
        </w:rPr>
        <w:t>80</w:t>
      </w:r>
      <w:r>
        <w:rPr>
          <w:rFonts w:eastAsia="楷体_GB2312" w:cs="Times New Roman"/>
          <w:szCs w:val="32"/>
        </w:rPr>
        <w:fldChar w:fldCharType="end"/>
      </w:r>
      <w:r>
        <w:rPr>
          <w:rFonts w:eastAsia="楷体_GB2312" w:cs="Times New Roman"/>
          <w:szCs w:val="32"/>
        </w:rPr>
        <w:fldChar w:fldCharType="end"/>
      </w:r>
    </w:p>
    <w:p w14:paraId="3A2CDC17">
      <w:pPr>
        <w:pStyle w:val="14"/>
        <w:tabs>
          <w:tab w:val="right" w:leader="dot" w:pos="8844"/>
        </w:tabs>
        <w:spacing w:line="560" w:lineRule="exact"/>
        <w:ind w:firstLine="640"/>
        <w:rPr>
          <w:rFonts w:eastAsia="楷体_GB2312" w:cs="Times New Roman"/>
          <w:szCs w:val="32"/>
        </w:rPr>
      </w:pPr>
      <w:r>
        <w:rPr>
          <w:rFonts w:eastAsia="楷体_GB2312"/>
        </w:rPr>
        <w:fldChar w:fldCharType="begin"/>
      </w:r>
      <w:r>
        <w:rPr>
          <w:rFonts w:eastAsia="楷体_GB2312"/>
        </w:rPr>
        <w:instrText xml:space="preserve"> HYPERLINK \l "_Toc2180" </w:instrText>
      </w:r>
      <w:r>
        <w:rPr>
          <w:rFonts w:eastAsia="楷体_GB2312"/>
        </w:rPr>
        <w:fldChar w:fldCharType="separate"/>
      </w:r>
      <w:r>
        <w:rPr>
          <w:rFonts w:eastAsia="楷体_GB2312" w:cs="Times New Roman"/>
          <w:szCs w:val="32"/>
        </w:rPr>
        <w:t>第三节  推动公共文化体育服务均衡可及</w:t>
      </w:r>
      <w:r>
        <w:rPr>
          <w:rFonts w:eastAsia="楷体_GB2312" w:cs="Times New Roman"/>
          <w:szCs w:val="32"/>
        </w:rPr>
        <w:tab/>
      </w:r>
      <w:r>
        <w:rPr>
          <w:rFonts w:eastAsia="楷体_GB2312" w:cs="Times New Roman"/>
          <w:szCs w:val="32"/>
        </w:rPr>
        <w:fldChar w:fldCharType="begin"/>
      </w:r>
      <w:r>
        <w:rPr>
          <w:rFonts w:eastAsia="楷体_GB2312" w:cs="Times New Roman"/>
          <w:szCs w:val="32"/>
        </w:rPr>
        <w:instrText xml:space="preserve"> PAGEREF _Toc2180 \h </w:instrText>
      </w:r>
      <w:r>
        <w:rPr>
          <w:rFonts w:eastAsia="楷体_GB2312" w:cs="Times New Roman"/>
          <w:szCs w:val="32"/>
        </w:rPr>
        <w:fldChar w:fldCharType="separate"/>
      </w:r>
      <w:r>
        <w:rPr>
          <w:rFonts w:eastAsia="楷体_GB2312" w:cs="Times New Roman"/>
          <w:szCs w:val="32"/>
        </w:rPr>
        <w:t>82</w:t>
      </w:r>
      <w:r>
        <w:rPr>
          <w:rFonts w:eastAsia="楷体_GB2312" w:cs="Times New Roman"/>
          <w:szCs w:val="32"/>
        </w:rPr>
        <w:fldChar w:fldCharType="end"/>
      </w:r>
      <w:r>
        <w:rPr>
          <w:rFonts w:eastAsia="楷体_GB2312" w:cs="Times New Roman"/>
          <w:szCs w:val="32"/>
        </w:rPr>
        <w:fldChar w:fldCharType="end"/>
      </w:r>
    </w:p>
    <w:p w14:paraId="6604290F">
      <w:pPr>
        <w:pStyle w:val="14"/>
        <w:tabs>
          <w:tab w:val="right" w:leader="dot" w:pos="8844"/>
        </w:tabs>
        <w:spacing w:line="560" w:lineRule="exact"/>
        <w:ind w:firstLine="640"/>
        <w:rPr>
          <w:rFonts w:eastAsia="楷体_GB2312" w:cs="Times New Roman"/>
          <w:szCs w:val="32"/>
        </w:rPr>
      </w:pPr>
      <w:r>
        <w:rPr>
          <w:rFonts w:eastAsia="楷体_GB2312"/>
        </w:rPr>
        <w:fldChar w:fldCharType="begin"/>
      </w:r>
      <w:r>
        <w:rPr>
          <w:rFonts w:eastAsia="楷体_GB2312"/>
        </w:rPr>
        <w:instrText xml:space="preserve"> HYPERLINK \l "_Toc3831" </w:instrText>
      </w:r>
      <w:r>
        <w:rPr>
          <w:rFonts w:eastAsia="楷体_GB2312"/>
        </w:rPr>
        <w:fldChar w:fldCharType="separate"/>
      </w:r>
      <w:r>
        <w:rPr>
          <w:rFonts w:eastAsia="楷体_GB2312" w:cs="Times New Roman"/>
          <w:szCs w:val="32"/>
        </w:rPr>
        <w:t>第四节  繁荣发展文体旅产业</w:t>
      </w:r>
      <w:r>
        <w:rPr>
          <w:rFonts w:eastAsia="楷体_GB2312" w:cs="Times New Roman"/>
          <w:szCs w:val="32"/>
        </w:rPr>
        <w:tab/>
      </w:r>
      <w:r>
        <w:rPr>
          <w:rFonts w:eastAsia="楷体_GB2312" w:cs="Times New Roman"/>
          <w:szCs w:val="32"/>
        </w:rPr>
        <w:fldChar w:fldCharType="begin"/>
      </w:r>
      <w:r>
        <w:rPr>
          <w:rFonts w:eastAsia="楷体_GB2312" w:cs="Times New Roman"/>
          <w:szCs w:val="32"/>
        </w:rPr>
        <w:instrText xml:space="preserve"> PAGEREF _Toc3831 \h </w:instrText>
      </w:r>
      <w:r>
        <w:rPr>
          <w:rFonts w:eastAsia="楷体_GB2312" w:cs="Times New Roman"/>
          <w:szCs w:val="32"/>
        </w:rPr>
        <w:fldChar w:fldCharType="separate"/>
      </w:r>
      <w:r>
        <w:rPr>
          <w:rFonts w:eastAsia="楷体_GB2312" w:cs="Times New Roman"/>
          <w:szCs w:val="32"/>
        </w:rPr>
        <w:t>84</w:t>
      </w:r>
      <w:r>
        <w:rPr>
          <w:rFonts w:eastAsia="楷体_GB2312" w:cs="Times New Roman"/>
          <w:szCs w:val="32"/>
        </w:rPr>
        <w:fldChar w:fldCharType="end"/>
      </w:r>
      <w:r>
        <w:rPr>
          <w:rFonts w:eastAsia="楷体_GB2312" w:cs="Times New Roman"/>
          <w:szCs w:val="32"/>
        </w:rPr>
        <w:fldChar w:fldCharType="end"/>
      </w:r>
    </w:p>
    <w:p w14:paraId="48A801F6">
      <w:pPr>
        <w:pStyle w:val="11"/>
        <w:tabs>
          <w:tab w:val="right" w:leader="dot" w:pos="8844"/>
        </w:tabs>
        <w:spacing w:line="560" w:lineRule="exact"/>
        <w:rPr>
          <w:rFonts w:eastAsia="黑体" w:cs="Times New Roman"/>
          <w:sz w:val="32"/>
          <w:szCs w:val="32"/>
        </w:rPr>
      </w:pPr>
      <w:r>
        <w:rPr>
          <w:rFonts w:eastAsia="黑体"/>
        </w:rPr>
        <w:fldChar w:fldCharType="begin"/>
      </w:r>
      <w:r>
        <w:rPr>
          <w:rFonts w:eastAsia="黑体"/>
        </w:rPr>
        <w:instrText xml:space="preserve"> HYPERLINK \l "_Toc29148" </w:instrText>
      </w:r>
      <w:r>
        <w:rPr>
          <w:rFonts w:eastAsia="黑体"/>
        </w:rPr>
        <w:fldChar w:fldCharType="separate"/>
      </w:r>
      <w:r>
        <w:rPr>
          <w:rFonts w:eastAsia="黑体" w:cs="Times New Roman"/>
          <w:sz w:val="32"/>
          <w:szCs w:val="32"/>
        </w:rPr>
        <w:t>第十二章  持续增进民生福祉  创造人民满意的高品质生活</w:t>
      </w:r>
      <w:r>
        <w:rPr>
          <w:rFonts w:eastAsia="黑体" w:cs="Times New Roman"/>
          <w:sz w:val="32"/>
          <w:szCs w:val="32"/>
        </w:rPr>
        <w:tab/>
      </w:r>
      <w:r>
        <w:rPr>
          <w:rFonts w:eastAsia="黑体" w:cs="Times New Roman"/>
          <w:sz w:val="32"/>
          <w:szCs w:val="32"/>
        </w:rPr>
        <w:fldChar w:fldCharType="begin"/>
      </w:r>
      <w:r>
        <w:rPr>
          <w:rFonts w:eastAsia="黑体" w:cs="Times New Roman"/>
          <w:sz w:val="32"/>
          <w:szCs w:val="32"/>
        </w:rPr>
        <w:instrText xml:space="preserve"> PAGEREF _Toc29148 \h </w:instrText>
      </w:r>
      <w:r>
        <w:rPr>
          <w:rFonts w:eastAsia="黑体" w:cs="Times New Roman"/>
          <w:sz w:val="32"/>
          <w:szCs w:val="32"/>
        </w:rPr>
        <w:fldChar w:fldCharType="separate"/>
      </w:r>
      <w:r>
        <w:rPr>
          <w:rFonts w:eastAsia="黑体" w:cs="Times New Roman"/>
          <w:sz w:val="32"/>
          <w:szCs w:val="32"/>
        </w:rPr>
        <w:t>87</w:t>
      </w:r>
      <w:r>
        <w:rPr>
          <w:rFonts w:eastAsia="黑体" w:cs="Times New Roman"/>
          <w:sz w:val="32"/>
          <w:szCs w:val="32"/>
        </w:rPr>
        <w:fldChar w:fldCharType="end"/>
      </w:r>
      <w:r>
        <w:rPr>
          <w:rFonts w:eastAsia="黑体" w:cs="Times New Roman"/>
          <w:sz w:val="32"/>
          <w:szCs w:val="32"/>
        </w:rPr>
        <w:fldChar w:fldCharType="end"/>
      </w:r>
    </w:p>
    <w:p w14:paraId="70600837">
      <w:pPr>
        <w:pStyle w:val="14"/>
        <w:tabs>
          <w:tab w:val="right" w:leader="dot" w:pos="8844"/>
        </w:tabs>
        <w:spacing w:line="560" w:lineRule="exact"/>
        <w:ind w:firstLine="640"/>
        <w:rPr>
          <w:rFonts w:eastAsia="楷体_GB2312" w:cs="Times New Roman"/>
          <w:szCs w:val="32"/>
        </w:rPr>
      </w:pPr>
      <w:r>
        <w:rPr>
          <w:rFonts w:eastAsia="楷体_GB2312"/>
        </w:rPr>
        <w:fldChar w:fldCharType="begin"/>
      </w:r>
      <w:r>
        <w:rPr>
          <w:rFonts w:eastAsia="楷体_GB2312"/>
        </w:rPr>
        <w:instrText xml:space="preserve"> HYPERLINK \l "_Toc2478" </w:instrText>
      </w:r>
      <w:r>
        <w:rPr>
          <w:rFonts w:eastAsia="楷体_GB2312"/>
        </w:rPr>
        <w:fldChar w:fldCharType="separate"/>
      </w:r>
      <w:r>
        <w:rPr>
          <w:rFonts w:eastAsia="楷体_GB2312" w:cs="Times New Roman"/>
          <w:szCs w:val="32"/>
        </w:rPr>
        <w:t>第一节  促进高质量充分就业</w:t>
      </w:r>
      <w:r>
        <w:rPr>
          <w:rFonts w:eastAsia="楷体_GB2312" w:cs="Times New Roman"/>
          <w:szCs w:val="32"/>
        </w:rPr>
        <w:tab/>
      </w:r>
      <w:r>
        <w:rPr>
          <w:rFonts w:eastAsia="楷体_GB2312" w:cs="Times New Roman"/>
          <w:szCs w:val="32"/>
        </w:rPr>
        <w:fldChar w:fldCharType="begin"/>
      </w:r>
      <w:r>
        <w:rPr>
          <w:rFonts w:eastAsia="楷体_GB2312" w:cs="Times New Roman"/>
          <w:szCs w:val="32"/>
        </w:rPr>
        <w:instrText xml:space="preserve"> PAGEREF _Toc2478 \h </w:instrText>
      </w:r>
      <w:r>
        <w:rPr>
          <w:rFonts w:eastAsia="楷体_GB2312" w:cs="Times New Roman"/>
          <w:szCs w:val="32"/>
        </w:rPr>
        <w:fldChar w:fldCharType="separate"/>
      </w:r>
      <w:r>
        <w:rPr>
          <w:rFonts w:eastAsia="楷体_GB2312" w:cs="Times New Roman"/>
          <w:szCs w:val="32"/>
        </w:rPr>
        <w:t>87</w:t>
      </w:r>
      <w:r>
        <w:rPr>
          <w:rFonts w:eastAsia="楷体_GB2312" w:cs="Times New Roman"/>
          <w:szCs w:val="32"/>
        </w:rPr>
        <w:fldChar w:fldCharType="end"/>
      </w:r>
      <w:r>
        <w:rPr>
          <w:rFonts w:eastAsia="楷体_GB2312" w:cs="Times New Roman"/>
          <w:szCs w:val="32"/>
        </w:rPr>
        <w:fldChar w:fldCharType="end"/>
      </w:r>
    </w:p>
    <w:p w14:paraId="2F281B9F">
      <w:pPr>
        <w:pStyle w:val="14"/>
        <w:tabs>
          <w:tab w:val="right" w:leader="dot" w:pos="8844"/>
        </w:tabs>
        <w:spacing w:line="560" w:lineRule="exact"/>
        <w:ind w:firstLine="640"/>
        <w:rPr>
          <w:rFonts w:eastAsia="楷体_GB2312" w:cs="Times New Roman"/>
          <w:szCs w:val="32"/>
        </w:rPr>
      </w:pPr>
      <w:r>
        <w:rPr>
          <w:rFonts w:eastAsia="楷体_GB2312"/>
        </w:rPr>
        <w:fldChar w:fldCharType="begin"/>
      </w:r>
      <w:r>
        <w:rPr>
          <w:rFonts w:eastAsia="楷体_GB2312"/>
        </w:rPr>
        <w:instrText xml:space="preserve"> HYPERLINK \l "_Toc30950" </w:instrText>
      </w:r>
      <w:r>
        <w:rPr>
          <w:rFonts w:eastAsia="楷体_GB2312"/>
        </w:rPr>
        <w:fldChar w:fldCharType="separate"/>
      </w:r>
      <w:r>
        <w:rPr>
          <w:rFonts w:eastAsia="楷体_GB2312" w:cs="Times New Roman"/>
          <w:szCs w:val="32"/>
        </w:rPr>
        <w:t>第二节  全力推动富民增收</w:t>
      </w:r>
      <w:r>
        <w:rPr>
          <w:rFonts w:eastAsia="楷体_GB2312" w:cs="Times New Roman"/>
          <w:szCs w:val="32"/>
        </w:rPr>
        <w:tab/>
      </w:r>
      <w:r>
        <w:rPr>
          <w:rFonts w:eastAsia="楷体_GB2312" w:cs="Times New Roman"/>
          <w:szCs w:val="32"/>
        </w:rPr>
        <w:fldChar w:fldCharType="begin"/>
      </w:r>
      <w:r>
        <w:rPr>
          <w:rFonts w:eastAsia="楷体_GB2312" w:cs="Times New Roman"/>
          <w:szCs w:val="32"/>
        </w:rPr>
        <w:instrText xml:space="preserve"> PAGEREF _Toc30950 \h </w:instrText>
      </w:r>
      <w:r>
        <w:rPr>
          <w:rFonts w:eastAsia="楷体_GB2312" w:cs="Times New Roman"/>
          <w:szCs w:val="32"/>
        </w:rPr>
        <w:fldChar w:fldCharType="separate"/>
      </w:r>
      <w:r>
        <w:rPr>
          <w:rFonts w:eastAsia="楷体_GB2312" w:cs="Times New Roman"/>
          <w:szCs w:val="32"/>
        </w:rPr>
        <w:t>88</w:t>
      </w:r>
      <w:r>
        <w:rPr>
          <w:rFonts w:eastAsia="楷体_GB2312" w:cs="Times New Roman"/>
          <w:szCs w:val="32"/>
        </w:rPr>
        <w:fldChar w:fldCharType="end"/>
      </w:r>
      <w:r>
        <w:rPr>
          <w:rFonts w:eastAsia="楷体_GB2312" w:cs="Times New Roman"/>
          <w:szCs w:val="32"/>
        </w:rPr>
        <w:fldChar w:fldCharType="end"/>
      </w:r>
    </w:p>
    <w:p w14:paraId="30B85D22">
      <w:pPr>
        <w:pStyle w:val="14"/>
        <w:tabs>
          <w:tab w:val="right" w:leader="dot" w:pos="8844"/>
        </w:tabs>
        <w:spacing w:line="560" w:lineRule="exact"/>
        <w:ind w:firstLine="640"/>
        <w:rPr>
          <w:rFonts w:eastAsia="楷体_GB2312" w:cs="Times New Roman"/>
          <w:szCs w:val="32"/>
        </w:rPr>
      </w:pPr>
      <w:r>
        <w:rPr>
          <w:rFonts w:eastAsia="楷体_GB2312"/>
        </w:rPr>
        <w:fldChar w:fldCharType="begin"/>
      </w:r>
      <w:r>
        <w:rPr>
          <w:rFonts w:eastAsia="楷体_GB2312"/>
        </w:rPr>
        <w:instrText xml:space="preserve"> HYPERLINK \l "_Toc24224" </w:instrText>
      </w:r>
      <w:r>
        <w:rPr>
          <w:rFonts w:eastAsia="楷体_GB2312"/>
        </w:rPr>
        <w:fldChar w:fldCharType="separate"/>
      </w:r>
      <w:r>
        <w:rPr>
          <w:rFonts w:eastAsia="楷体_GB2312" w:cs="Times New Roman"/>
          <w:szCs w:val="32"/>
        </w:rPr>
        <w:t>第三节  建设</w:t>
      </w:r>
      <w:r>
        <w:rPr>
          <w:rFonts w:eastAsia="楷体_GB2312" w:cs="Times New Roman"/>
          <w:szCs w:val="32"/>
          <w:lang w:bidi="bo-CN"/>
        </w:rPr>
        <w:t>“全域均衡、全阶优质”</w:t>
      </w:r>
      <w:r>
        <w:rPr>
          <w:rFonts w:eastAsia="楷体_GB2312" w:cs="Times New Roman"/>
          <w:szCs w:val="32"/>
        </w:rPr>
        <w:t>现代化教育强区</w:t>
      </w:r>
      <w:r>
        <w:rPr>
          <w:rFonts w:eastAsia="楷体_GB2312" w:cs="Times New Roman"/>
          <w:szCs w:val="32"/>
        </w:rPr>
        <w:tab/>
      </w:r>
      <w:r>
        <w:rPr>
          <w:rFonts w:eastAsia="楷体_GB2312" w:cs="Times New Roman"/>
          <w:szCs w:val="32"/>
        </w:rPr>
        <w:fldChar w:fldCharType="begin"/>
      </w:r>
      <w:r>
        <w:rPr>
          <w:rFonts w:eastAsia="楷体_GB2312" w:cs="Times New Roman"/>
          <w:szCs w:val="32"/>
        </w:rPr>
        <w:instrText xml:space="preserve"> PAGEREF _Toc24224 \h </w:instrText>
      </w:r>
      <w:r>
        <w:rPr>
          <w:rFonts w:eastAsia="楷体_GB2312" w:cs="Times New Roman"/>
          <w:szCs w:val="32"/>
        </w:rPr>
        <w:fldChar w:fldCharType="separate"/>
      </w:r>
      <w:r>
        <w:rPr>
          <w:rFonts w:eastAsia="楷体_GB2312" w:cs="Times New Roman"/>
          <w:szCs w:val="32"/>
        </w:rPr>
        <w:t>89</w:t>
      </w:r>
      <w:r>
        <w:rPr>
          <w:rFonts w:eastAsia="楷体_GB2312" w:cs="Times New Roman"/>
          <w:szCs w:val="32"/>
        </w:rPr>
        <w:fldChar w:fldCharType="end"/>
      </w:r>
      <w:r>
        <w:rPr>
          <w:rFonts w:eastAsia="楷体_GB2312" w:cs="Times New Roman"/>
          <w:szCs w:val="32"/>
        </w:rPr>
        <w:fldChar w:fldCharType="end"/>
      </w:r>
    </w:p>
    <w:p w14:paraId="2BD9A7F0">
      <w:pPr>
        <w:pStyle w:val="14"/>
        <w:tabs>
          <w:tab w:val="right" w:leader="dot" w:pos="8844"/>
        </w:tabs>
        <w:spacing w:line="560" w:lineRule="exact"/>
        <w:ind w:firstLine="640"/>
        <w:rPr>
          <w:rFonts w:eastAsia="楷体_GB2312" w:cs="Times New Roman"/>
          <w:szCs w:val="32"/>
        </w:rPr>
      </w:pPr>
      <w:r>
        <w:rPr>
          <w:rFonts w:eastAsia="楷体_GB2312"/>
        </w:rPr>
        <w:fldChar w:fldCharType="begin"/>
      </w:r>
      <w:r>
        <w:rPr>
          <w:rFonts w:eastAsia="楷体_GB2312"/>
        </w:rPr>
        <w:instrText xml:space="preserve"> HYPERLINK \l "_Toc19707" </w:instrText>
      </w:r>
      <w:r>
        <w:rPr>
          <w:rFonts w:eastAsia="楷体_GB2312"/>
        </w:rPr>
        <w:fldChar w:fldCharType="separate"/>
      </w:r>
      <w:r>
        <w:rPr>
          <w:rFonts w:eastAsia="楷体_GB2312" w:cs="Times New Roman"/>
          <w:szCs w:val="32"/>
        </w:rPr>
        <w:t>第四节  建设优质高效的健康海门</w:t>
      </w:r>
      <w:r>
        <w:rPr>
          <w:rFonts w:eastAsia="楷体_GB2312" w:cs="Times New Roman"/>
          <w:szCs w:val="32"/>
        </w:rPr>
        <w:tab/>
      </w:r>
      <w:r>
        <w:rPr>
          <w:rFonts w:eastAsia="楷体_GB2312" w:cs="Times New Roman"/>
          <w:szCs w:val="32"/>
        </w:rPr>
        <w:fldChar w:fldCharType="begin"/>
      </w:r>
      <w:r>
        <w:rPr>
          <w:rFonts w:eastAsia="楷体_GB2312" w:cs="Times New Roman"/>
          <w:szCs w:val="32"/>
        </w:rPr>
        <w:instrText xml:space="preserve"> PAGEREF _Toc19707 \h </w:instrText>
      </w:r>
      <w:r>
        <w:rPr>
          <w:rFonts w:eastAsia="楷体_GB2312" w:cs="Times New Roman"/>
          <w:szCs w:val="32"/>
        </w:rPr>
        <w:fldChar w:fldCharType="separate"/>
      </w:r>
      <w:r>
        <w:rPr>
          <w:rFonts w:eastAsia="楷体_GB2312" w:cs="Times New Roman"/>
          <w:szCs w:val="32"/>
        </w:rPr>
        <w:t>91</w:t>
      </w:r>
      <w:r>
        <w:rPr>
          <w:rFonts w:eastAsia="楷体_GB2312" w:cs="Times New Roman"/>
          <w:szCs w:val="32"/>
        </w:rPr>
        <w:fldChar w:fldCharType="end"/>
      </w:r>
      <w:r>
        <w:rPr>
          <w:rFonts w:eastAsia="楷体_GB2312" w:cs="Times New Roman"/>
          <w:szCs w:val="32"/>
        </w:rPr>
        <w:fldChar w:fldCharType="end"/>
      </w:r>
    </w:p>
    <w:p w14:paraId="580C59B5">
      <w:pPr>
        <w:pStyle w:val="14"/>
        <w:tabs>
          <w:tab w:val="right" w:leader="dot" w:pos="8844"/>
        </w:tabs>
        <w:spacing w:line="560" w:lineRule="exact"/>
        <w:ind w:firstLine="640"/>
        <w:rPr>
          <w:rFonts w:eastAsia="楷体_GB2312" w:cs="Times New Roman"/>
          <w:szCs w:val="32"/>
        </w:rPr>
      </w:pPr>
      <w:r>
        <w:rPr>
          <w:rFonts w:eastAsia="楷体_GB2312"/>
        </w:rPr>
        <w:fldChar w:fldCharType="begin"/>
      </w:r>
      <w:r>
        <w:rPr>
          <w:rFonts w:eastAsia="楷体_GB2312"/>
        </w:rPr>
        <w:instrText xml:space="preserve"> HYPERLINK \l "_Toc13892" </w:instrText>
      </w:r>
      <w:r>
        <w:rPr>
          <w:rFonts w:eastAsia="楷体_GB2312"/>
        </w:rPr>
        <w:fldChar w:fldCharType="separate"/>
      </w:r>
      <w:r>
        <w:rPr>
          <w:rFonts w:eastAsia="楷体_GB2312" w:cs="Times New Roman"/>
          <w:szCs w:val="32"/>
        </w:rPr>
        <w:t>第五节  织密社会保障网络</w:t>
      </w:r>
      <w:r>
        <w:rPr>
          <w:rFonts w:eastAsia="楷体_GB2312" w:cs="Times New Roman"/>
          <w:szCs w:val="32"/>
        </w:rPr>
        <w:tab/>
      </w:r>
      <w:r>
        <w:rPr>
          <w:rFonts w:eastAsia="楷体_GB2312" w:cs="Times New Roman"/>
          <w:szCs w:val="32"/>
        </w:rPr>
        <w:fldChar w:fldCharType="begin"/>
      </w:r>
      <w:r>
        <w:rPr>
          <w:rFonts w:eastAsia="楷体_GB2312" w:cs="Times New Roman"/>
          <w:szCs w:val="32"/>
        </w:rPr>
        <w:instrText xml:space="preserve"> PAGEREF _Toc13892 \h </w:instrText>
      </w:r>
      <w:r>
        <w:rPr>
          <w:rFonts w:eastAsia="楷体_GB2312" w:cs="Times New Roman"/>
          <w:szCs w:val="32"/>
        </w:rPr>
        <w:fldChar w:fldCharType="separate"/>
      </w:r>
      <w:r>
        <w:rPr>
          <w:rFonts w:eastAsia="楷体_GB2312" w:cs="Times New Roman"/>
          <w:szCs w:val="32"/>
        </w:rPr>
        <w:t>93</w:t>
      </w:r>
      <w:r>
        <w:rPr>
          <w:rFonts w:eastAsia="楷体_GB2312" w:cs="Times New Roman"/>
          <w:szCs w:val="32"/>
        </w:rPr>
        <w:fldChar w:fldCharType="end"/>
      </w:r>
      <w:r>
        <w:rPr>
          <w:rFonts w:eastAsia="楷体_GB2312" w:cs="Times New Roman"/>
          <w:szCs w:val="32"/>
        </w:rPr>
        <w:fldChar w:fldCharType="end"/>
      </w:r>
    </w:p>
    <w:p w14:paraId="6CDA6572">
      <w:pPr>
        <w:pStyle w:val="11"/>
        <w:tabs>
          <w:tab w:val="right" w:leader="dot" w:pos="8844"/>
        </w:tabs>
        <w:spacing w:line="560" w:lineRule="exact"/>
        <w:rPr>
          <w:rFonts w:eastAsia="黑体" w:cs="Times New Roman"/>
          <w:sz w:val="32"/>
          <w:szCs w:val="32"/>
        </w:rPr>
      </w:pPr>
      <w:r>
        <w:rPr>
          <w:rFonts w:eastAsia="黑体"/>
        </w:rPr>
        <w:fldChar w:fldCharType="begin"/>
      </w:r>
      <w:r>
        <w:rPr>
          <w:rFonts w:eastAsia="黑体"/>
        </w:rPr>
        <w:instrText xml:space="preserve"> HYPERLINK \l "_Toc25744" </w:instrText>
      </w:r>
      <w:r>
        <w:rPr>
          <w:rFonts w:eastAsia="黑体"/>
        </w:rPr>
        <w:fldChar w:fldCharType="separate"/>
      </w:r>
      <w:r>
        <w:rPr>
          <w:rFonts w:eastAsia="黑体" w:cs="Times New Roman"/>
          <w:sz w:val="32"/>
          <w:szCs w:val="32"/>
        </w:rPr>
        <w:t>第十三章  完善高质量人口服务体系  建设全龄友好型城市</w:t>
      </w:r>
      <w:r>
        <w:rPr>
          <w:rFonts w:eastAsia="黑体" w:cs="Times New Roman"/>
          <w:sz w:val="32"/>
          <w:szCs w:val="32"/>
        </w:rPr>
        <w:tab/>
      </w:r>
      <w:r>
        <w:rPr>
          <w:rFonts w:eastAsia="黑体" w:cs="Times New Roman"/>
          <w:sz w:val="32"/>
          <w:szCs w:val="32"/>
        </w:rPr>
        <w:fldChar w:fldCharType="begin"/>
      </w:r>
      <w:r>
        <w:rPr>
          <w:rFonts w:eastAsia="黑体" w:cs="Times New Roman"/>
          <w:sz w:val="32"/>
          <w:szCs w:val="32"/>
        </w:rPr>
        <w:instrText xml:space="preserve"> PAGEREF _Toc25744 \h </w:instrText>
      </w:r>
      <w:r>
        <w:rPr>
          <w:rFonts w:eastAsia="黑体" w:cs="Times New Roman"/>
          <w:sz w:val="32"/>
          <w:szCs w:val="32"/>
        </w:rPr>
        <w:fldChar w:fldCharType="separate"/>
      </w:r>
      <w:r>
        <w:rPr>
          <w:rFonts w:eastAsia="黑体" w:cs="Times New Roman"/>
          <w:sz w:val="32"/>
          <w:szCs w:val="32"/>
        </w:rPr>
        <w:t>96</w:t>
      </w:r>
      <w:r>
        <w:rPr>
          <w:rFonts w:eastAsia="黑体" w:cs="Times New Roman"/>
          <w:sz w:val="32"/>
          <w:szCs w:val="32"/>
        </w:rPr>
        <w:fldChar w:fldCharType="end"/>
      </w:r>
      <w:r>
        <w:rPr>
          <w:rFonts w:eastAsia="黑体" w:cs="Times New Roman"/>
          <w:sz w:val="32"/>
          <w:szCs w:val="32"/>
        </w:rPr>
        <w:fldChar w:fldCharType="end"/>
      </w:r>
    </w:p>
    <w:p w14:paraId="1172A773">
      <w:pPr>
        <w:pStyle w:val="14"/>
        <w:tabs>
          <w:tab w:val="right" w:leader="dot" w:pos="8844"/>
        </w:tabs>
        <w:spacing w:line="560" w:lineRule="exact"/>
        <w:ind w:firstLine="640"/>
        <w:rPr>
          <w:rFonts w:eastAsia="楷体_GB2312" w:cs="Times New Roman"/>
          <w:szCs w:val="32"/>
        </w:rPr>
      </w:pPr>
      <w:r>
        <w:rPr>
          <w:rFonts w:eastAsia="楷体_GB2312"/>
        </w:rPr>
        <w:fldChar w:fldCharType="begin"/>
      </w:r>
      <w:r>
        <w:rPr>
          <w:rFonts w:eastAsia="楷体_GB2312"/>
        </w:rPr>
        <w:instrText xml:space="preserve"> HYPERLINK \l "_Toc17829" </w:instrText>
      </w:r>
      <w:r>
        <w:rPr>
          <w:rFonts w:eastAsia="楷体_GB2312"/>
        </w:rPr>
        <w:fldChar w:fldCharType="separate"/>
      </w:r>
      <w:r>
        <w:rPr>
          <w:rFonts w:eastAsia="楷体_GB2312" w:cs="Times New Roman"/>
          <w:szCs w:val="32"/>
        </w:rPr>
        <w:t>第一节  健全“一老一小”服务体系</w:t>
      </w:r>
      <w:r>
        <w:rPr>
          <w:rFonts w:eastAsia="楷体_GB2312" w:cs="Times New Roman"/>
          <w:szCs w:val="32"/>
        </w:rPr>
        <w:tab/>
      </w:r>
      <w:r>
        <w:rPr>
          <w:rFonts w:eastAsia="楷体_GB2312" w:cs="Times New Roman"/>
          <w:szCs w:val="32"/>
        </w:rPr>
        <w:fldChar w:fldCharType="begin"/>
      </w:r>
      <w:r>
        <w:rPr>
          <w:rFonts w:eastAsia="楷体_GB2312" w:cs="Times New Roman"/>
          <w:szCs w:val="32"/>
        </w:rPr>
        <w:instrText xml:space="preserve"> PAGEREF _Toc17829 \h </w:instrText>
      </w:r>
      <w:r>
        <w:rPr>
          <w:rFonts w:eastAsia="楷体_GB2312" w:cs="Times New Roman"/>
          <w:szCs w:val="32"/>
        </w:rPr>
        <w:fldChar w:fldCharType="separate"/>
      </w:r>
      <w:r>
        <w:rPr>
          <w:rFonts w:eastAsia="楷体_GB2312" w:cs="Times New Roman"/>
          <w:szCs w:val="32"/>
        </w:rPr>
        <w:t>96</w:t>
      </w:r>
      <w:r>
        <w:rPr>
          <w:rFonts w:eastAsia="楷体_GB2312" w:cs="Times New Roman"/>
          <w:szCs w:val="32"/>
        </w:rPr>
        <w:fldChar w:fldCharType="end"/>
      </w:r>
      <w:r>
        <w:rPr>
          <w:rFonts w:eastAsia="楷体_GB2312" w:cs="Times New Roman"/>
          <w:szCs w:val="32"/>
        </w:rPr>
        <w:fldChar w:fldCharType="end"/>
      </w:r>
    </w:p>
    <w:p w14:paraId="768EA2F1">
      <w:pPr>
        <w:pStyle w:val="14"/>
        <w:tabs>
          <w:tab w:val="right" w:leader="dot" w:pos="8844"/>
        </w:tabs>
        <w:spacing w:line="560" w:lineRule="exact"/>
        <w:ind w:firstLine="640"/>
        <w:rPr>
          <w:rFonts w:eastAsia="楷体_GB2312" w:cs="Times New Roman"/>
          <w:szCs w:val="32"/>
        </w:rPr>
      </w:pPr>
      <w:r>
        <w:rPr>
          <w:rFonts w:eastAsia="楷体_GB2312"/>
        </w:rPr>
        <w:fldChar w:fldCharType="begin"/>
      </w:r>
      <w:r>
        <w:rPr>
          <w:rFonts w:eastAsia="楷体_GB2312"/>
        </w:rPr>
        <w:instrText xml:space="preserve"> HYPERLINK \l "_Toc7981" </w:instrText>
      </w:r>
      <w:r>
        <w:rPr>
          <w:rFonts w:eastAsia="楷体_GB2312"/>
        </w:rPr>
        <w:fldChar w:fldCharType="separate"/>
      </w:r>
      <w:r>
        <w:rPr>
          <w:rFonts w:eastAsia="楷体_GB2312" w:cs="Times New Roman"/>
          <w:szCs w:val="32"/>
        </w:rPr>
        <w:t>第二节  建设人才友好型、青年发展型城市</w:t>
      </w:r>
      <w:r>
        <w:rPr>
          <w:rFonts w:eastAsia="楷体_GB2312" w:cs="Times New Roman"/>
          <w:szCs w:val="32"/>
        </w:rPr>
        <w:tab/>
      </w:r>
      <w:r>
        <w:rPr>
          <w:rFonts w:eastAsia="楷体_GB2312" w:cs="Times New Roman"/>
          <w:szCs w:val="32"/>
        </w:rPr>
        <w:fldChar w:fldCharType="begin"/>
      </w:r>
      <w:r>
        <w:rPr>
          <w:rFonts w:eastAsia="楷体_GB2312" w:cs="Times New Roman"/>
          <w:szCs w:val="32"/>
        </w:rPr>
        <w:instrText xml:space="preserve"> PAGEREF _Toc7981 \h </w:instrText>
      </w:r>
      <w:r>
        <w:rPr>
          <w:rFonts w:eastAsia="楷体_GB2312" w:cs="Times New Roman"/>
          <w:szCs w:val="32"/>
        </w:rPr>
        <w:fldChar w:fldCharType="separate"/>
      </w:r>
      <w:r>
        <w:rPr>
          <w:rFonts w:eastAsia="楷体_GB2312" w:cs="Times New Roman"/>
          <w:szCs w:val="32"/>
        </w:rPr>
        <w:t>97</w:t>
      </w:r>
      <w:r>
        <w:rPr>
          <w:rFonts w:eastAsia="楷体_GB2312" w:cs="Times New Roman"/>
          <w:szCs w:val="32"/>
        </w:rPr>
        <w:fldChar w:fldCharType="end"/>
      </w:r>
      <w:r>
        <w:rPr>
          <w:rFonts w:eastAsia="楷体_GB2312" w:cs="Times New Roman"/>
          <w:szCs w:val="32"/>
        </w:rPr>
        <w:fldChar w:fldCharType="end"/>
      </w:r>
    </w:p>
    <w:p w14:paraId="590DF248">
      <w:pPr>
        <w:pStyle w:val="14"/>
        <w:tabs>
          <w:tab w:val="right" w:leader="dot" w:pos="8844"/>
        </w:tabs>
        <w:spacing w:line="560" w:lineRule="exact"/>
        <w:ind w:firstLine="640"/>
        <w:rPr>
          <w:rFonts w:eastAsia="楷体_GB2312" w:cs="Times New Roman"/>
          <w:szCs w:val="32"/>
        </w:rPr>
      </w:pPr>
      <w:r>
        <w:rPr>
          <w:rFonts w:eastAsia="楷体_GB2312"/>
        </w:rPr>
        <w:fldChar w:fldCharType="begin"/>
      </w:r>
      <w:r>
        <w:rPr>
          <w:rFonts w:eastAsia="楷体_GB2312"/>
        </w:rPr>
        <w:instrText xml:space="preserve"> HYPERLINK \l "_Toc6703" </w:instrText>
      </w:r>
      <w:r>
        <w:rPr>
          <w:rFonts w:eastAsia="楷体_GB2312"/>
        </w:rPr>
        <w:fldChar w:fldCharType="separate"/>
      </w:r>
      <w:r>
        <w:rPr>
          <w:rFonts w:eastAsia="楷体_GB2312" w:cs="Times New Roman"/>
          <w:szCs w:val="32"/>
        </w:rPr>
        <w:t>第三节  推动重点群体共享发展</w:t>
      </w:r>
      <w:r>
        <w:rPr>
          <w:rFonts w:eastAsia="楷体_GB2312" w:cs="Times New Roman"/>
          <w:szCs w:val="32"/>
        </w:rPr>
        <w:tab/>
      </w:r>
      <w:r>
        <w:rPr>
          <w:rFonts w:eastAsia="楷体_GB2312" w:cs="Times New Roman"/>
          <w:szCs w:val="32"/>
        </w:rPr>
        <w:fldChar w:fldCharType="begin"/>
      </w:r>
      <w:r>
        <w:rPr>
          <w:rFonts w:eastAsia="楷体_GB2312" w:cs="Times New Roman"/>
          <w:szCs w:val="32"/>
        </w:rPr>
        <w:instrText xml:space="preserve"> PAGEREF _Toc6703 \h </w:instrText>
      </w:r>
      <w:r>
        <w:rPr>
          <w:rFonts w:eastAsia="楷体_GB2312" w:cs="Times New Roman"/>
          <w:szCs w:val="32"/>
        </w:rPr>
        <w:fldChar w:fldCharType="separate"/>
      </w:r>
      <w:r>
        <w:rPr>
          <w:rFonts w:eastAsia="楷体_GB2312" w:cs="Times New Roman"/>
          <w:szCs w:val="32"/>
        </w:rPr>
        <w:t>98</w:t>
      </w:r>
      <w:r>
        <w:rPr>
          <w:rFonts w:eastAsia="楷体_GB2312" w:cs="Times New Roman"/>
          <w:szCs w:val="32"/>
        </w:rPr>
        <w:fldChar w:fldCharType="end"/>
      </w:r>
      <w:r>
        <w:rPr>
          <w:rFonts w:eastAsia="楷体_GB2312" w:cs="Times New Roman"/>
          <w:szCs w:val="32"/>
        </w:rPr>
        <w:fldChar w:fldCharType="end"/>
      </w:r>
    </w:p>
    <w:p w14:paraId="0714A261">
      <w:pPr>
        <w:pStyle w:val="14"/>
        <w:tabs>
          <w:tab w:val="right" w:leader="dot" w:pos="8844"/>
        </w:tabs>
        <w:spacing w:line="560" w:lineRule="exact"/>
        <w:ind w:firstLine="640"/>
        <w:rPr>
          <w:rFonts w:eastAsia="楷体_GB2312" w:cs="Times New Roman"/>
          <w:szCs w:val="32"/>
        </w:rPr>
      </w:pPr>
      <w:r>
        <w:rPr>
          <w:rFonts w:eastAsia="楷体_GB2312"/>
        </w:rPr>
        <w:fldChar w:fldCharType="begin"/>
      </w:r>
      <w:r>
        <w:rPr>
          <w:rFonts w:eastAsia="楷体_GB2312"/>
        </w:rPr>
        <w:instrText xml:space="preserve"> HYPERLINK \l "_Toc22663" </w:instrText>
      </w:r>
      <w:r>
        <w:rPr>
          <w:rFonts w:eastAsia="楷体_GB2312"/>
        </w:rPr>
        <w:fldChar w:fldCharType="separate"/>
      </w:r>
      <w:r>
        <w:rPr>
          <w:rFonts w:eastAsia="楷体_GB2312" w:cs="Times New Roman"/>
          <w:szCs w:val="32"/>
        </w:rPr>
        <w:t>第四节  加强人口精准服务管理</w:t>
      </w:r>
      <w:r>
        <w:rPr>
          <w:rFonts w:eastAsia="楷体_GB2312" w:cs="Times New Roman"/>
          <w:szCs w:val="32"/>
        </w:rPr>
        <w:tab/>
      </w:r>
      <w:r>
        <w:rPr>
          <w:rFonts w:eastAsia="楷体_GB2312" w:cs="Times New Roman"/>
          <w:szCs w:val="32"/>
        </w:rPr>
        <w:fldChar w:fldCharType="begin"/>
      </w:r>
      <w:r>
        <w:rPr>
          <w:rFonts w:eastAsia="楷体_GB2312" w:cs="Times New Roman"/>
          <w:szCs w:val="32"/>
        </w:rPr>
        <w:instrText xml:space="preserve"> PAGEREF _Toc22663 \h </w:instrText>
      </w:r>
      <w:r>
        <w:rPr>
          <w:rFonts w:eastAsia="楷体_GB2312" w:cs="Times New Roman"/>
          <w:szCs w:val="32"/>
        </w:rPr>
        <w:fldChar w:fldCharType="separate"/>
      </w:r>
      <w:r>
        <w:rPr>
          <w:rFonts w:eastAsia="楷体_GB2312" w:cs="Times New Roman"/>
          <w:szCs w:val="32"/>
        </w:rPr>
        <w:t>99</w:t>
      </w:r>
      <w:r>
        <w:rPr>
          <w:rFonts w:eastAsia="楷体_GB2312" w:cs="Times New Roman"/>
          <w:szCs w:val="32"/>
        </w:rPr>
        <w:fldChar w:fldCharType="end"/>
      </w:r>
      <w:r>
        <w:rPr>
          <w:rFonts w:eastAsia="楷体_GB2312" w:cs="Times New Roman"/>
          <w:szCs w:val="32"/>
        </w:rPr>
        <w:fldChar w:fldCharType="end"/>
      </w:r>
    </w:p>
    <w:p w14:paraId="3DA61E22">
      <w:pPr>
        <w:pStyle w:val="11"/>
        <w:tabs>
          <w:tab w:val="right" w:leader="dot" w:pos="8844"/>
        </w:tabs>
        <w:spacing w:line="560" w:lineRule="exact"/>
        <w:rPr>
          <w:rFonts w:eastAsia="黑体" w:cs="Times New Roman"/>
          <w:sz w:val="32"/>
          <w:szCs w:val="32"/>
        </w:rPr>
      </w:pPr>
      <w:r>
        <w:rPr>
          <w:rFonts w:eastAsia="黑体"/>
        </w:rPr>
        <w:fldChar w:fldCharType="begin"/>
      </w:r>
      <w:r>
        <w:rPr>
          <w:rFonts w:eastAsia="黑体"/>
        </w:rPr>
        <w:instrText xml:space="preserve"> HYPERLINK \l "_Toc31961" </w:instrText>
      </w:r>
      <w:r>
        <w:rPr>
          <w:rFonts w:eastAsia="黑体"/>
        </w:rPr>
        <w:fldChar w:fldCharType="separate"/>
      </w:r>
      <w:r>
        <w:rPr>
          <w:rFonts w:eastAsia="黑体" w:cs="Times New Roman"/>
          <w:spacing w:val="-6"/>
          <w:sz w:val="32"/>
          <w:szCs w:val="32"/>
        </w:rPr>
        <w:t xml:space="preserve">第十四章  </w:t>
      </w:r>
      <w:r>
        <w:rPr>
          <w:rFonts w:eastAsia="黑体" w:cs="Times New Roman"/>
          <w:spacing w:val="-11"/>
          <w:sz w:val="32"/>
          <w:szCs w:val="32"/>
        </w:rPr>
        <w:t>加快绿色低碳转型  打造江海联动和谐共生美丽家园</w:t>
      </w:r>
      <w:r>
        <w:rPr>
          <w:rFonts w:eastAsia="黑体" w:cs="Times New Roman"/>
          <w:sz w:val="32"/>
          <w:szCs w:val="32"/>
        </w:rPr>
        <w:tab/>
      </w:r>
      <w:r>
        <w:rPr>
          <w:rFonts w:eastAsia="黑体" w:cs="Times New Roman"/>
          <w:sz w:val="32"/>
          <w:szCs w:val="32"/>
        </w:rPr>
        <w:fldChar w:fldCharType="begin"/>
      </w:r>
      <w:r>
        <w:rPr>
          <w:rFonts w:eastAsia="黑体" w:cs="Times New Roman"/>
          <w:sz w:val="32"/>
          <w:szCs w:val="32"/>
        </w:rPr>
        <w:instrText xml:space="preserve"> PAGEREF _Toc31961 \h </w:instrText>
      </w:r>
      <w:r>
        <w:rPr>
          <w:rFonts w:eastAsia="黑体" w:cs="Times New Roman"/>
          <w:sz w:val="32"/>
          <w:szCs w:val="32"/>
        </w:rPr>
        <w:fldChar w:fldCharType="separate"/>
      </w:r>
      <w:r>
        <w:rPr>
          <w:rFonts w:eastAsia="黑体" w:cs="Times New Roman"/>
          <w:sz w:val="32"/>
          <w:szCs w:val="32"/>
        </w:rPr>
        <w:t>100</w:t>
      </w:r>
      <w:r>
        <w:rPr>
          <w:rFonts w:eastAsia="黑体" w:cs="Times New Roman"/>
          <w:sz w:val="32"/>
          <w:szCs w:val="32"/>
        </w:rPr>
        <w:fldChar w:fldCharType="end"/>
      </w:r>
      <w:r>
        <w:rPr>
          <w:rFonts w:eastAsia="黑体" w:cs="Times New Roman"/>
          <w:sz w:val="32"/>
          <w:szCs w:val="32"/>
        </w:rPr>
        <w:fldChar w:fldCharType="end"/>
      </w:r>
    </w:p>
    <w:p w14:paraId="28DECF5A">
      <w:pPr>
        <w:pStyle w:val="14"/>
        <w:tabs>
          <w:tab w:val="right" w:leader="dot" w:pos="8844"/>
        </w:tabs>
        <w:spacing w:line="560" w:lineRule="exact"/>
        <w:ind w:firstLine="640"/>
        <w:rPr>
          <w:rFonts w:eastAsia="楷体_GB2312" w:cs="Times New Roman"/>
          <w:szCs w:val="32"/>
        </w:rPr>
      </w:pPr>
      <w:r>
        <w:rPr>
          <w:rFonts w:eastAsia="楷体_GB2312"/>
        </w:rPr>
        <w:fldChar w:fldCharType="begin"/>
      </w:r>
      <w:r>
        <w:rPr>
          <w:rFonts w:eastAsia="楷体_GB2312"/>
        </w:rPr>
        <w:instrText xml:space="preserve"> HYPERLINK \l "_Toc27011" </w:instrText>
      </w:r>
      <w:r>
        <w:rPr>
          <w:rFonts w:eastAsia="楷体_GB2312"/>
        </w:rPr>
        <w:fldChar w:fldCharType="separate"/>
      </w:r>
      <w:r>
        <w:rPr>
          <w:rFonts w:eastAsia="楷体_GB2312" w:cs="Times New Roman"/>
          <w:szCs w:val="32"/>
        </w:rPr>
        <w:t>第一节  打造最美江海生态空间</w:t>
      </w:r>
      <w:r>
        <w:rPr>
          <w:rFonts w:eastAsia="楷体_GB2312" w:cs="Times New Roman"/>
          <w:szCs w:val="32"/>
        </w:rPr>
        <w:tab/>
      </w:r>
      <w:r>
        <w:rPr>
          <w:rFonts w:eastAsia="楷体_GB2312" w:cs="Times New Roman"/>
          <w:szCs w:val="32"/>
        </w:rPr>
        <w:fldChar w:fldCharType="begin"/>
      </w:r>
      <w:r>
        <w:rPr>
          <w:rFonts w:eastAsia="楷体_GB2312" w:cs="Times New Roman"/>
          <w:szCs w:val="32"/>
        </w:rPr>
        <w:instrText xml:space="preserve"> PAGEREF _Toc27011 \h </w:instrText>
      </w:r>
      <w:r>
        <w:rPr>
          <w:rFonts w:eastAsia="楷体_GB2312" w:cs="Times New Roman"/>
          <w:szCs w:val="32"/>
        </w:rPr>
        <w:fldChar w:fldCharType="separate"/>
      </w:r>
      <w:r>
        <w:rPr>
          <w:rFonts w:eastAsia="楷体_GB2312" w:cs="Times New Roman"/>
          <w:szCs w:val="32"/>
        </w:rPr>
        <w:t>100</w:t>
      </w:r>
      <w:r>
        <w:rPr>
          <w:rFonts w:eastAsia="楷体_GB2312" w:cs="Times New Roman"/>
          <w:szCs w:val="32"/>
        </w:rPr>
        <w:fldChar w:fldCharType="end"/>
      </w:r>
      <w:r>
        <w:rPr>
          <w:rFonts w:eastAsia="楷体_GB2312" w:cs="Times New Roman"/>
          <w:szCs w:val="32"/>
        </w:rPr>
        <w:fldChar w:fldCharType="end"/>
      </w:r>
    </w:p>
    <w:p w14:paraId="06C570BD">
      <w:pPr>
        <w:pStyle w:val="14"/>
        <w:tabs>
          <w:tab w:val="right" w:leader="dot" w:pos="8844"/>
        </w:tabs>
        <w:spacing w:line="560" w:lineRule="exact"/>
        <w:ind w:firstLine="640"/>
        <w:rPr>
          <w:rFonts w:eastAsia="楷体_GB2312" w:cs="Times New Roman"/>
          <w:szCs w:val="32"/>
        </w:rPr>
      </w:pPr>
      <w:r>
        <w:rPr>
          <w:rFonts w:eastAsia="楷体_GB2312"/>
        </w:rPr>
        <w:fldChar w:fldCharType="begin"/>
      </w:r>
      <w:r>
        <w:rPr>
          <w:rFonts w:eastAsia="楷体_GB2312"/>
        </w:rPr>
        <w:instrText xml:space="preserve"> HYPERLINK \l "_Toc28562" </w:instrText>
      </w:r>
      <w:r>
        <w:rPr>
          <w:rFonts w:eastAsia="楷体_GB2312"/>
        </w:rPr>
        <w:fldChar w:fldCharType="separate"/>
      </w:r>
      <w:r>
        <w:rPr>
          <w:rFonts w:eastAsia="楷体_GB2312" w:cs="Times New Roman"/>
          <w:szCs w:val="32"/>
        </w:rPr>
        <w:t>第二节  提供“碧水蓝天净土”优质环境</w:t>
      </w:r>
      <w:r>
        <w:rPr>
          <w:rFonts w:eastAsia="楷体_GB2312" w:cs="Times New Roman"/>
          <w:szCs w:val="32"/>
        </w:rPr>
        <w:tab/>
      </w:r>
      <w:r>
        <w:rPr>
          <w:rFonts w:eastAsia="楷体_GB2312" w:cs="Times New Roman"/>
          <w:szCs w:val="32"/>
        </w:rPr>
        <w:fldChar w:fldCharType="begin"/>
      </w:r>
      <w:r>
        <w:rPr>
          <w:rFonts w:eastAsia="楷体_GB2312" w:cs="Times New Roman"/>
          <w:szCs w:val="32"/>
        </w:rPr>
        <w:instrText xml:space="preserve"> PAGEREF _Toc28562 \h </w:instrText>
      </w:r>
      <w:r>
        <w:rPr>
          <w:rFonts w:eastAsia="楷体_GB2312" w:cs="Times New Roman"/>
          <w:szCs w:val="32"/>
        </w:rPr>
        <w:fldChar w:fldCharType="separate"/>
      </w:r>
      <w:r>
        <w:rPr>
          <w:rFonts w:eastAsia="楷体_GB2312" w:cs="Times New Roman"/>
          <w:szCs w:val="32"/>
        </w:rPr>
        <w:t>101</w:t>
      </w:r>
      <w:r>
        <w:rPr>
          <w:rFonts w:eastAsia="楷体_GB2312" w:cs="Times New Roman"/>
          <w:szCs w:val="32"/>
        </w:rPr>
        <w:fldChar w:fldCharType="end"/>
      </w:r>
      <w:r>
        <w:rPr>
          <w:rFonts w:eastAsia="楷体_GB2312" w:cs="Times New Roman"/>
          <w:szCs w:val="32"/>
        </w:rPr>
        <w:fldChar w:fldCharType="end"/>
      </w:r>
    </w:p>
    <w:p w14:paraId="5F82A93F">
      <w:pPr>
        <w:pStyle w:val="14"/>
        <w:tabs>
          <w:tab w:val="right" w:leader="dot" w:pos="8844"/>
        </w:tabs>
        <w:spacing w:line="560" w:lineRule="exact"/>
        <w:ind w:firstLine="640"/>
        <w:rPr>
          <w:rFonts w:eastAsia="楷体_GB2312" w:cs="Times New Roman"/>
          <w:szCs w:val="32"/>
        </w:rPr>
      </w:pPr>
      <w:r>
        <w:rPr>
          <w:rFonts w:eastAsia="楷体_GB2312"/>
        </w:rPr>
        <w:fldChar w:fldCharType="begin"/>
      </w:r>
      <w:r>
        <w:rPr>
          <w:rFonts w:eastAsia="楷体_GB2312"/>
        </w:rPr>
        <w:instrText xml:space="preserve"> HYPERLINK \l "_Toc11891" </w:instrText>
      </w:r>
      <w:r>
        <w:rPr>
          <w:rFonts w:eastAsia="楷体_GB2312"/>
        </w:rPr>
        <w:fldChar w:fldCharType="separate"/>
      </w:r>
      <w:r>
        <w:rPr>
          <w:rFonts w:eastAsia="楷体_GB2312" w:cs="Times New Roman"/>
          <w:szCs w:val="32"/>
        </w:rPr>
        <w:t>第三节  推动绿色低碳全面转型</w:t>
      </w:r>
      <w:r>
        <w:rPr>
          <w:rFonts w:eastAsia="楷体_GB2312" w:cs="Times New Roman"/>
          <w:szCs w:val="32"/>
        </w:rPr>
        <w:tab/>
      </w:r>
      <w:r>
        <w:rPr>
          <w:rFonts w:eastAsia="楷体_GB2312" w:cs="Times New Roman"/>
          <w:szCs w:val="32"/>
        </w:rPr>
        <w:fldChar w:fldCharType="begin"/>
      </w:r>
      <w:r>
        <w:rPr>
          <w:rFonts w:eastAsia="楷体_GB2312" w:cs="Times New Roman"/>
          <w:szCs w:val="32"/>
        </w:rPr>
        <w:instrText xml:space="preserve"> PAGEREF _Toc11891 \h </w:instrText>
      </w:r>
      <w:r>
        <w:rPr>
          <w:rFonts w:eastAsia="楷体_GB2312" w:cs="Times New Roman"/>
          <w:szCs w:val="32"/>
        </w:rPr>
        <w:fldChar w:fldCharType="separate"/>
      </w:r>
      <w:r>
        <w:rPr>
          <w:rFonts w:eastAsia="楷体_GB2312" w:cs="Times New Roman"/>
          <w:szCs w:val="32"/>
        </w:rPr>
        <w:t>103</w:t>
      </w:r>
      <w:r>
        <w:rPr>
          <w:rFonts w:eastAsia="楷体_GB2312" w:cs="Times New Roman"/>
          <w:szCs w:val="32"/>
        </w:rPr>
        <w:fldChar w:fldCharType="end"/>
      </w:r>
      <w:r>
        <w:rPr>
          <w:rFonts w:eastAsia="楷体_GB2312" w:cs="Times New Roman"/>
          <w:szCs w:val="32"/>
        </w:rPr>
        <w:fldChar w:fldCharType="end"/>
      </w:r>
    </w:p>
    <w:p w14:paraId="32A3C4A2">
      <w:pPr>
        <w:pStyle w:val="14"/>
        <w:tabs>
          <w:tab w:val="right" w:leader="dot" w:pos="8844"/>
        </w:tabs>
        <w:spacing w:line="560" w:lineRule="exact"/>
        <w:ind w:firstLine="640"/>
        <w:rPr>
          <w:rFonts w:eastAsia="楷体_GB2312" w:cs="Times New Roman"/>
          <w:szCs w:val="32"/>
        </w:rPr>
      </w:pPr>
      <w:r>
        <w:rPr>
          <w:rFonts w:eastAsia="楷体_GB2312"/>
        </w:rPr>
        <w:fldChar w:fldCharType="begin"/>
      </w:r>
      <w:r>
        <w:rPr>
          <w:rFonts w:eastAsia="楷体_GB2312"/>
        </w:rPr>
        <w:instrText xml:space="preserve"> HYPERLINK \l "_Toc7960" </w:instrText>
      </w:r>
      <w:r>
        <w:rPr>
          <w:rFonts w:eastAsia="楷体_GB2312"/>
        </w:rPr>
        <w:fldChar w:fldCharType="separate"/>
      </w:r>
      <w:r>
        <w:rPr>
          <w:rFonts w:eastAsia="楷体_GB2312" w:cs="Times New Roman"/>
          <w:szCs w:val="32"/>
        </w:rPr>
        <w:t>第四节  深化生态文明制度创新</w:t>
      </w:r>
      <w:r>
        <w:rPr>
          <w:rFonts w:eastAsia="楷体_GB2312" w:cs="Times New Roman"/>
          <w:szCs w:val="32"/>
        </w:rPr>
        <w:tab/>
      </w:r>
      <w:r>
        <w:rPr>
          <w:rFonts w:eastAsia="楷体_GB2312" w:cs="Times New Roman"/>
          <w:szCs w:val="32"/>
        </w:rPr>
        <w:fldChar w:fldCharType="begin"/>
      </w:r>
      <w:r>
        <w:rPr>
          <w:rFonts w:eastAsia="楷体_GB2312" w:cs="Times New Roman"/>
          <w:szCs w:val="32"/>
        </w:rPr>
        <w:instrText xml:space="preserve"> PAGEREF _Toc7960 \h </w:instrText>
      </w:r>
      <w:r>
        <w:rPr>
          <w:rFonts w:eastAsia="楷体_GB2312" w:cs="Times New Roman"/>
          <w:szCs w:val="32"/>
        </w:rPr>
        <w:fldChar w:fldCharType="separate"/>
      </w:r>
      <w:r>
        <w:rPr>
          <w:rFonts w:eastAsia="楷体_GB2312" w:cs="Times New Roman"/>
          <w:szCs w:val="32"/>
        </w:rPr>
        <w:t>105</w:t>
      </w:r>
      <w:r>
        <w:rPr>
          <w:rFonts w:eastAsia="楷体_GB2312" w:cs="Times New Roman"/>
          <w:szCs w:val="32"/>
        </w:rPr>
        <w:fldChar w:fldCharType="end"/>
      </w:r>
      <w:r>
        <w:rPr>
          <w:rFonts w:eastAsia="楷体_GB2312" w:cs="Times New Roman"/>
          <w:szCs w:val="32"/>
        </w:rPr>
        <w:fldChar w:fldCharType="end"/>
      </w:r>
    </w:p>
    <w:p w14:paraId="4FBB4029">
      <w:pPr>
        <w:pStyle w:val="11"/>
        <w:tabs>
          <w:tab w:val="right" w:leader="dot" w:pos="8844"/>
        </w:tabs>
        <w:spacing w:line="560" w:lineRule="exact"/>
        <w:rPr>
          <w:rFonts w:eastAsia="黑体" w:cs="Times New Roman"/>
          <w:sz w:val="32"/>
          <w:szCs w:val="32"/>
        </w:rPr>
      </w:pPr>
      <w:r>
        <w:rPr>
          <w:rFonts w:eastAsia="黑体"/>
        </w:rPr>
        <w:fldChar w:fldCharType="begin"/>
      </w:r>
      <w:r>
        <w:rPr>
          <w:rFonts w:eastAsia="黑体"/>
        </w:rPr>
        <w:instrText xml:space="preserve"> HYPERLINK \l "_Toc9217" </w:instrText>
      </w:r>
      <w:r>
        <w:rPr>
          <w:rFonts w:eastAsia="黑体"/>
        </w:rPr>
        <w:fldChar w:fldCharType="separate"/>
      </w:r>
      <w:r>
        <w:rPr>
          <w:rFonts w:eastAsia="黑体" w:cs="Times New Roman"/>
          <w:spacing w:val="6"/>
          <w:sz w:val="32"/>
          <w:szCs w:val="32"/>
        </w:rPr>
        <w:t>第十五章  高效统筹发展和安全  提升治理体系和治理能力现代化水平</w:t>
      </w:r>
      <w:r>
        <w:rPr>
          <w:rFonts w:eastAsia="黑体" w:cs="Times New Roman"/>
          <w:sz w:val="32"/>
          <w:szCs w:val="32"/>
        </w:rPr>
        <w:tab/>
      </w:r>
      <w:r>
        <w:rPr>
          <w:rFonts w:eastAsia="黑体" w:cs="Times New Roman"/>
          <w:sz w:val="32"/>
          <w:szCs w:val="32"/>
        </w:rPr>
        <w:fldChar w:fldCharType="begin"/>
      </w:r>
      <w:r>
        <w:rPr>
          <w:rFonts w:eastAsia="黑体" w:cs="Times New Roman"/>
          <w:sz w:val="32"/>
          <w:szCs w:val="32"/>
        </w:rPr>
        <w:instrText xml:space="preserve"> PAGEREF _Toc9217 \h </w:instrText>
      </w:r>
      <w:r>
        <w:rPr>
          <w:rFonts w:eastAsia="黑体" w:cs="Times New Roman"/>
          <w:sz w:val="32"/>
          <w:szCs w:val="32"/>
        </w:rPr>
        <w:fldChar w:fldCharType="separate"/>
      </w:r>
      <w:r>
        <w:rPr>
          <w:rFonts w:eastAsia="黑体" w:cs="Times New Roman"/>
          <w:sz w:val="32"/>
          <w:szCs w:val="32"/>
        </w:rPr>
        <w:t>107</w:t>
      </w:r>
      <w:r>
        <w:rPr>
          <w:rFonts w:eastAsia="黑体" w:cs="Times New Roman"/>
          <w:sz w:val="32"/>
          <w:szCs w:val="32"/>
        </w:rPr>
        <w:fldChar w:fldCharType="end"/>
      </w:r>
      <w:r>
        <w:rPr>
          <w:rFonts w:eastAsia="黑体" w:cs="Times New Roman"/>
          <w:sz w:val="32"/>
          <w:szCs w:val="32"/>
        </w:rPr>
        <w:fldChar w:fldCharType="end"/>
      </w:r>
    </w:p>
    <w:p w14:paraId="5D993F68">
      <w:pPr>
        <w:pStyle w:val="14"/>
        <w:tabs>
          <w:tab w:val="right" w:leader="dot" w:pos="8844"/>
        </w:tabs>
        <w:spacing w:line="560" w:lineRule="exact"/>
        <w:ind w:firstLine="640"/>
        <w:rPr>
          <w:rFonts w:eastAsia="楷体_GB2312" w:cs="Times New Roman"/>
          <w:szCs w:val="32"/>
        </w:rPr>
      </w:pPr>
      <w:r>
        <w:rPr>
          <w:rFonts w:eastAsia="楷体_GB2312"/>
        </w:rPr>
        <w:fldChar w:fldCharType="begin"/>
      </w:r>
      <w:r>
        <w:rPr>
          <w:rFonts w:eastAsia="楷体_GB2312"/>
        </w:rPr>
        <w:instrText xml:space="preserve"> HYPERLINK \l "_Toc13485" </w:instrText>
      </w:r>
      <w:r>
        <w:rPr>
          <w:rFonts w:eastAsia="楷体_GB2312"/>
        </w:rPr>
        <w:fldChar w:fldCharType="separate"/>
      </w:r>
      <w:r>
        <w:rPr>
          <w:rFonts w:eastAsia="楷体_GB2312" w:cs="Times New Roman"/>
          <w:szCs w:val="32"/>
        </w:rPr>
        <w:t>第一节  建设法治海门</w:t>
      </w:r>
      <w:r>
        <w:rPr>
          <w:rFonts w:eastAsia="楷体_GB2312" w:cs="Times New Roman"/>
          <w:szCs w:val="32"/>
        </w:rPr>
        <w:tab/>
      </w:r>
      <w:r>
        <w:rPr>
          <w:rFonts w:eastAsia="楷体_GB2312" w:cs="Times New Roman"/>
          <w:szCs w:val="32"/>
        </w:rPr>
        <w:fldChar w:fldCharType="begin"/>
      </w:r>
      <w:r>
        <w:rPr>
          <w:rFonts w:eastAsia="楷体_GB2312" w:cs="Times New Roman"/>
          <w:szCs w:val="32"/>
        </w:rPr>
        <w:instrText xml:space="preserve"> PAGEREF _Toc13485 \h </w:instrText>
      </w:r>
      <w:r>
        <w:rPr>
          <w:rFonts w:eastAsia="楷体_GB2312" w:cs="Times New Roman"/>
          <w:szCs w:val="32"/>
        </w:rPr>
        <w:fldChar w:fldCharType="separate"/>
      </w:r>
      <w:r>
        <w:rPr>
          <w:rFonts w:eastAsia="楷体_GB2312" w:cs="Times New Roman"/>
          <w:szCs w:val="32"/>
        </w:rPr>
        <w:t>107</w:t>
      </w:r>
      <w:r>
        <w:rPr>
          <w:rFonts w:eastAsia="楷体_GB2312" w:cs="Times New Roman"/>
          <w:szCs w:val="32"/>
        </w:rPr>
        <w:fldChar w:fldCharType="end"/>
      </w:r>
      <w:r>
        <w:rPr>
          <w:rFonts w:eastAsia="楷体_GB2312" w:cs="Times New Roman"/>
          <w:szCs w:val="32"/>
        </w:rPr>
        <w:fldChar w:fldCharType="end"/>
      </w:r>
    </w:p>
    <w:p w14:paraId="5B2262CE">
      <w:pPr>
        <w:pStyle w:val="14"/>
        <w:tabs>
          <w:tab w:val="right" w:leader="dot" w:pos="8844"/>
        </w:tabs>
        <w:spacing w:line="560" w:lineRule="exact"/>
        <w:ind w:firstLine="640"/>
        <w:rPr>
          <w:rFonts w:eastAsia="楷体_GB2312" w:cs="Times New Roman"/>
          <w:szCs w:val="32"/>
        </w:rPr>
      </w:pPr>
      <w:r>
        <w:rPr>
          <w:rFonts w:eastAsia="楷体_GB2312"/>
        </w:rPr>
        <w:fldChar w:fldCharType="begin"/>
      </w:r>
      <w:r>
        <w:rPr>
          <w:rFonts w:eastAsia="楷体_GB2312"/>
        </w:rPr>
        <w:instrText xml:space="preserve"> HYPERLINK \l "_Toc3648" </w:instrText>
      </w:r>
      <w:r>
        <w:rPr>
          <w:rFonts w:eastAsia="楷体_GB2312"/>
        </w:rPr>
        <w:fldChar w:fldCharType="separate"/>
      </w:r>
      <w:r>
        <w:rPr>
          <w:rFonts w:eastAsia="楷体_GB2312" w:cs="Times New Roman"/>
          <w:szCs w:val="32"/>
        </w:rPr>
        <w:t>第二节  打造多元共治的社会治理格局</w:t>
      </w:r>
      <w:r>
        <w:rPr>
          <w:rFonts w:eastAsia="楷体_GB2312" w:cs="Times New Roman"/>
          <w:szCs w:val="32"/>
        </w:rPr>
        <w:tab/>
      </w:r>
      <w:r>
        <w:rPr>
          <w:rFonts w:eastAsia="楷体_GB2312" w:cs="Times New Roman"/>
          <w:szCs w:val="32"/>
        </w:rPr>
        <w:fldChar w:fldCharType="begin"/>
      </w:r>
      <w:r>
        <w:rPr>
          <w:rFonts w:eastAsia="楷体_GB2312" w:cs="Times New Roman"/>
          <w:szCs w:val="32"/>
        </w:rPr>
        <w:instrText xml:space="preserve"> PAGEREF _Toc3648 \h </w:instrText>
      </w:r>
      <w:r>
        <w:rPr>
          <w:rFonts w:eastAsia="楷体_GB2312" w:cs="Times New Roman"/>
          <w:szCs w:val="32"/>
        </w:rPr>
        <w:fldChar w:fldCharType="separate"/>
      </w:r>
      <w:r>
        <w:rPr>
          <w:rFonts w:eastAsia="楷体_GB2312" w:cs="Times New Roman"/>
          <w:szCs w:val="32"/>
        </w:rPr>
        <w:t>108</w:t>
      </w:r>
      <w:r>
        <w:rPr>
          <w:rFonts w:eastAsia="楷体_GB2312" w:cs="Times New Roman"/>
          <w:szCs w:val="32"/>
        </w:rPr>
        <w:fldChar w:fldCharType="end"/>
      </w:r>
      <w:r>
        <w:rPr>
          <w:rFonts w:eastAsia="楷体_GB2312" w:cs="Times New Roman"/>
          <w:szCs w:val="32"/>
        </w:rPr>
        <w:fldChar w:fldCharType="end"/>
      </w:r>
    </w:p>
    <w:p w14:paraId="51355380">
      <w:pPr>
        <w:pStyle w:val="14"/>
        <w:tabs>
          <w:tab w:val="right" w:leader="dot" w:pos="8844"/>
        </w:tabs>
        <w:spacing w:line="560" w:lineRule="exact"/>
        <w:ind w:firstLine="640"/>
        <w:rPr>
          <w:rFonts w:eastAsia="楷体_GB2312" w:cs="Times New Roman"/>
          <w:szCs w:val="32"/>
        </w:rPr>
      </w:pPr>
      <w:r>
        <w:rPr>
          <w:rFonts w:eastAsia="楷体_GB2312"/>
        </w:rPr>
        <w:fldChar w:fldCharType="begin"/>
      </w:r>
      <w:r>
        <w:rPr>
          <w:rFonts w:eastAsia="楷体_GB2312"/>
        </w:rPr>
        <w:instrText xml:space="preserve"> HYPERLINK \l "_Toc7831" </w:instrText>
      </w:r>
      <w:r>
        <w:rPr>
          <w:rFonts w:eastAsia="楷体_GB2312"/>
        </w:rPr>
        <w:fldChar w:fldCharType="separate"/>
      </w:r>
      <w:r>
        <w:rPr>
          <w:rFonts w:eastAsia="楷体_GB2312" w:cs="Times New Roman"/>
          <w:szCs w:val="32"/>
        </w:rPr>
        <w:t>第三节  建设平安海门</w:t>
      </w:r>
      <w:r>
        <w:rPr>
          <w:rFonts w:eastAsia="楷体_GB2312" w:cs="Times New Roman"/>
          <w:szCs w:val="32"/>
        </w:rPr>
        <w:tab/>
      </w:r>
      <w:r>
        <w:rPr>
          <w:rFonts w:eastAsia="楷体_GB2312" w:cs="Times New Roman"/>
          <w:szCs w:val="32"/>
        </w:rPr>
        <w:fldChar w:fldCharType="begin"/>
      </w:r>
      <w:r>
        <w:rPr>
          <w:rFonts w:eastAsia="楷体_GB2312" w:cs="Times New Roman"/>
          <w:szCs w:val="32"/>
        </w:rPr>
        <w:instrText xml:space="preserve"> PAGEREF _Toc7831 \h </w:instrText>
      </w:r>
      <w:r>
        <w:rPr>
          <w:rFonts w:eastAsia="楷体_GB2312" w:cs="Times New Roman"/>
          <w:szCs w:val="32"/>
        </w:rPr>
        <w:fldChar w:fldCharType="separate"/>
      </w:r>
      <w:r>
        <w:rPr>
          <w:rFonts w:eastAsia="楷体_GB2312" w:cs="Times New Roman"/>
          <w:szCs w:val="32"/>
        </w:rPr>
        <w:t>109</w:t>
      </w:r>
      <w:r>
        <w:rPr>
          <w:rFonts w:eastAsia="楷体_GB2312" w:cs="Times New Roman"/>
          <w:szCs w:val="32"/>
        </w:rPr>
        <w:fldChar w:fldCharType="end"/>
      </w:r>
      <w:r>
        <w:rPr>
          <w:rFonts w:eastAsia="楷体_GB2312" w:cs="Times New Roman"/>
          <w:szCs w:val="32"/>
        </w:rPr>
        <w:fldChar w:fldCharType="end"/>
      </w:r>
    </w:p>
    <w:p w14:paraId="05D1271A">
      <w:pPr>
        <w:pStyle w:val="11"/>
        <w:tabs>
          <w:tab w:val="right" w:leader="dot" w:pos="8844"/>
        </w:tabs>
        <w:spacing w:line="560" w:lineRule="exact"/>
        <w:rPr>
          <w:rFonts w:eastAsia="黑体" w:cs="Times New Roman"/>
          <w:sz w:val="32"/>
          <w:szCs w:val="32"/>
        </w:rPr>
      </w:pPr>
      <w:r>
        <w:rPr>
          <w:rFonts w:eastAsia="黑体"/>
        </w:rPr>
        <w:fldChar w:fldCharType="begin"/>
      </w:r>
      <w:r>
        <w:rPr>
          <w:rFonts w:eastAsia="黑体"/>
        </w:rPr>
        <w:instrText xml:space="preserve"> HYPERLINK \l "_Toc2726" </w:instrText>
      </w:r>
      <w:r>
        <w:rPr>
          <w:rFonts w:eastAsia="黑体"/>
        </w:rPr>
        <w:fldChar w:fldCharType="separate"/>
      </w:r>
      <w:r>
        <w:rPr>
          <w:rFonts w:eastAsia="黑体" w:cs="Times New Roman"/>
          <w:sz w:val="32"/>
          <w:szCs w:val="32"/>
        </w:rPr>
        <w:t xml:space="preserve">第十六章  </w:t>
      </w:r>
      <w:r>
        <w:rPr>
          <w:rFonts w:eastAsia="黑体" w:cs="Times New Roman"/>
          <w:spacing w:val="-6"/>
          <w:sz w:val="32"/>
          <w:szCs w:val="32"/>
        </w:rPr>
        <w:t>加强规划实施保障  奋力汇聚现代化建设强大合力</w:t>
      </w:r>
      <w:r>
        <w:rPr>
          <w:rFonts w:eastAsia="黑体" w:cs="Times New Roman"/>
          <w:sz w:val="32"/>
          <w:szCs w:val="32"/>
        </w:rPr>
        <w:tab/>
      </w:r>
      <w:r>
        <w:rPr>
          <w:rFonts w:eastAsia="黑体" w:cs="Times New Roman"/>
          <w:sz w:val="32"/>
          <w:szCs w:val="32"/>
        </w:rPr>
        <w:fldChar w:fldCharType="begin"/>
      </w:r>
      <w:r>
        <w:rPr>
          <w:rFonts w:eastAsia="黑体" w:cs="Times New Roman"/>
          <w:sz w:val="32"/>
          <w:szCs w:val="32"/>
        </w:rPr>
        <w:instrText xml:space="preserve"> PAGEREF _Toc2726 \h </w:instrText>
      </w:r>
      <w:r>
        <w:rPr>
          <w:rFonts w:eastAsia="黑体" w:cs="Times New Roman"/>
          <w:sz w:val="32"/>
          <w:szCs w:val="32"/>
        </w:rPr>
        <w:fldChar w:fldCharType="separate"/>
      </w:r>
      <w:r>
        <w:rPr>
          <w:rFonts w:eastAsia="黑体" w:cs="Times New Roman"/>
          <w:sz w:val="32"/>
          <w:szCs w:val="32"/>
        </w:rPr>
        <w:t>112</w:t>
      </w:r>
      <w:r>
        <w:rPr>
          <w:rFonts w:eastAsia="黑体" w:cs="Times New Roman"/>
          <w:sz w:val="32"/>
          <w:szCs w:val="32"/>
        </w:rPr>
        <w:fldChar w:fldCharType="end"/>
      </w:r>
      <w:r>
        <w:rPr>
          <w:rFonts w:eastAsia="黑体" w:cs="Times New Roman"/>
          <w:sz w:val="32"/>
          <w:szCs w:val="32"/>
        </w:rPr>
        <w:fldChar w:fldCharType="end"/>
      </w:r>
    </w:p>
    <w:p w14:paraId="43D5BC81">
      <w:pPr>
        <w:pStyle w:val="14"/>
        <w:tabs>
          <w:tab w:val="right" w:leader="dot" w:pos="8844"/>
        </w:tabs>
        <w:spacing w:line="560" w:lineRule="exact"/>
        <w:ind w:firstLine="640"/>
        <w:rPr>
          <w:rFonts w:eastAsia="楷体_GB2312" w:cs="Times New Roman"/>
          <w:szCs w:val="32"/>
        </w:rPr>
      </w:pPr>
      <w:r>
        <w:rPr>
          <w:rFonts w:eastAsia="楷体_GB2312"/>
        </w:rPr>
        <w:fldChar w:fldCharType="begin"/>
      </w:r>
      <w:r>
        <w:rPr>
          <w:rFonts w:eastAsia="楷体_GB2312"/>
        </w:rPr>
        <w:instrText xml:space="preserve"> HYPERLINK \l "_Toc10621" </w:instrText>
      </w:r>
      <w:r>
        <w:rPr>
          <w:rFonts w:eastAsia="楷体_GB2312"/>
        </w:rPr>
        <w:fldChar w:fldCharType="separate"/>
      </w:r>
      <w:r>
        <w:rPr>
          <w:rFonts w:eastAsia="楷体_GB2312" w:cs="Times New Roman"/>
          <w:szCs w:val="32"/>
        </w:rPr>
        <w:t>第一节  坚持和加强党的全面领导</w:t>
      </w:r>
      <w:r>
        <w:rPr>
          <w:rFonts w:eastAsia="楷体_GB2312" w:cs="Times New Roman"/>
          <w:szCs w:val="32"/>
        </w:rPr>
        <w:tab/>
      </w:r>
      <w:r>
        <w:rPr>
          <w:rFonts w:eastAsia="楷体_GB2312" w:cs="Times New Roman"/>
          <w:szCs w:val="32"/>
        </w:rPr>
        <w:fldChar w:fldCharType="begin"/>
      </w:r>
      <w:r>
        <w:rPr>
          <w:rFonts w:eastAsia="楷体_GB2312" w:cs="Times New Roman"/>
          <w:szCs w:val="32"/>
        </w:rPr>
        <w:instrText xml:space="preserve"> PAGEREF _Toc10621 \h </w:instrText>
      </w:r>
      <w:r>
        <w:rPr>
          <w:rFonts w:eastAsia="楷体_GB2312" w:cs="Times New Roman"/>
          <w:szCs w:val="32"/>
        </w:rPr>
        <w:fldChar w:fldCharType="separate"/>
      </w:r>
      <w:r>
        <w:rPr>
          <w:rFonts w:eastAsia="楷体_GB2312" w:cs="Times New Roman"/>
          <w:szCs w:val="32"/>
        </w:rPr>
        <w:t>112</w:t>
      </w:r>
      <w:r>
        <w:rPr>
          <w:rFonts w:eastAsia="楷体_GB2312" w:cs="Times New Roman"/>
          <w:szCs w:val="32"/>
        </w:rPr>
        <w:fldChar w:fldCharType="end"/>
      </w:r>
      <w:r>
        <w:rPr>
          <w:rFonts w:eastAsia="楷体_GB2312" w:cs="Times New Roman"/>
          <w:szCs w:val="32"/>
        </w:rPr>
        <w:fldChar w:fldCharType="end"/>
      </w:r>
    </w:p>
    <w:p w14:paraId="79AD7335">
      <w:pPr>
        <w:pStyle w:val="14"/>
        <w:tabs>
          <w:tab w:val="right" w:leader="dot" w:pos="8844"/>
        </w:tabs>
        <w:spacing w:line="560" w:lineRule="exact"/>
        <w:ind w:firstLine="640"/>
        <w:rPr>
          <w:rFonts w:eastAsia="楷体_GB2312" w:cs="Times New Roman"/>
          <w:szCs w:val="32"/>
        </w:rPr>
      </w:pPr>
      <w:r>
        <w:rPr>
          <w:rFonts w:eastAsia="楷体_GB2312"/>
        </w:rPr>
        <w:fldChar w:fldCharType="begin"/>
      </w:r>
      <w:r>
        <w:rPr>
          <w:rFonts w:eastAsia="楷体_GB2312"/>
        </w:rPr>
        <w:instrText xml:space="preserve"> HYPERLINK \l "_Toc28243" </w:instrText>
      </w:r>
      <w:r>
        <w:rPr>
          <w:rFonts w:eastAsia="楷体_GB2312"/>
        </w:rPr>
        <w:fldChar w:fldCharType="separate"/>
      </w:r>
      <w:r>
        <w:rPr>
          <w:rFonts w:eastAsia="楷体_GB2312" w:cs="Times New Roman"/>
          <w:szCs w:val="32"/>
        </w:rPr>
        <w:t>第二节  加强发展规划战略统领</w:t>
      </w:r>
      <w:r>
        <w:rPr>
          <w:rFonts w:eastAsia="楷体_GB2312" w:cs="Times New Roman"/>
          <w:szCs w:val="32"/>
        </w:rPr>
        <w:tab/>
      </w:r>
      <w:r>
        <w:rPr>
          <w:rFonts w:eastAsia="楷体_GB2312" w:cs="Times New Roman"/>
          <w:szCs w:val="32"/>
        </w:rPr>
        <w:fldChar w:fldCharType="begin"/>
      </w:r>
      <w:r>
        <w:rPr>
          <w:rFonts w:eastAsia="楷体_GB2312" w:cs="Times New Roman"/>
          <w:szCs w:val="32"/>
        </w:rPr>
        <w:instrText xml:space="preserve"> PAGEREF _Toc28243 \h </w:instrText>
      </w:r>
      <w:r>
        <w:rPr>
          <w:rFonts w:eastAsia="楷体_GB2312" w:cs="Times New Roman"/>
          <w:szCs w:val="32"/>
        </w:rPr>
        <w:fldChar w:fldCharType="separate"/>
      </w:r>
      <w:r>
        <w:rPr>
          <w:rFonts w:eastAsia="楷体_GB2312" w:cs="Times New Roman"/>
          <w:szCs w:val="32"/>
        </w:rPr>
        <w:t>112</w:t>
      </w:r>
      <w:r>
        <w:rPr>
          <w:rFonts w:eastAsia="楷体_GB2312" w:cs="Times New Roman"/>
          <w:szCs w:val="32"/>
        </w:rPr>
        <w:fldChar w:fldCharType="end"/>
      </w:r>
      <w:r>
        <w:rPr>
          <w:rFonts w:eastAsia="楷体_GB2312" w:cs="Times New Roman"/>
          <w:szCs w:val="32"/>
        </w:rPr>
        <w:fldChar w:fldCharType="end"/>
      </w:r>
    </w:p>
    <w:p w14:paraId="0E29AA00">
      <w:pPr>
        <w:pStyle w:val="14"/>
        <w:tabs>
          <w:tab w:val="right" w:leader="dot" w:pos="8844"/>
        </w:tabs>
        <w:spacing w:line="560" w:lineRule="exact"/>
        <w:ind w:firstLine="640"/>
        <w:rPr>
          <w:rFonts w:eastAsia="楷体_GB2312" w:cs="Times New Roman"/>
          <w:szCs w:val="32"/>
        </w:rPr>
      </w:pPr>
      <w:r>
        <w:rPr>
          <w:rFonts w:eastAsia="楷体_GB2312"/>
        </w:rPr>
        <w:fldChar w:fldCharType="begin"/>
      </w:r>
      <w:r>
        <w:rPr>
          <w:rFonts w:eastAsia="楷体_GB2312"/>
        </w:rPr>
        <w:instrText xml:space="preserve"> HYPERLINK \l "_Toc17844" </w:instrText>
      </w:r>
      <w:r>
        <w:rPr>
          <w:rFonts w:eastAsia="楷体_GB2312"/>
        </w:rPr>
        <w:fldChar w:fldCharType="separate"/>
      </w:r>
      <w:r>
        <w:rPr>
          <w:rFonts w:eastAsia="楷体_GB2312" w:cs="Times New Roman"/>
          <w:szCs w:val="32"/>
        </w:rPr>
        <w:t>第三节  创新规划实施机制</w:t>
      </w:r>
      <w:r>
        <w:rPr>
          <w:rFonts w:eastAsia="楷体_GB2312" w:cs="Times New Roman"/>
          <w:szCs w:val="32"/>
        </w:rPr>
        <w:tab/>
      </w:r>
      <w:r>
        <w:rPr>
          <w:rFonts w:eastAsia="楷体_GB2312" w:cs="Times New Roman"/>
          <w:szCs w:val="32"/>
        </w:rPr>
        <w:fldChar w:fldCharType="begin"/>
      </w:r>
      <w:r>
        <w:rPr>
          <w:rFonts w:eastAsia="楷体_GB2312" w:cs="Times New Roman"/>
          <w:szCs w:val="32"/>
        </w:rPr>
        <w:instrText xml:space="preserve"> PAGEREF _Toc17844 \h </w:instrText>
      </w:r>
      <w:r>
        <w:rPr>
          <w:rFonts w:eastAsia="楷体_GB2312" w:cs="Times New Roman"/>
          <w:szCs w:val="32"/>
        </w:rPr>
        <w:fldChar w:fldCharType="separate"/>
      </w:r>
      <w:r>
        <w:rPr>
          <w:rFonts w:eastAsia="楷体_GB2312" w:cs="Times New Roman"/>
          <w:szCs w:val="32"/>
        </w:rPr>
        <w:t>113</w:t>
      </w:r>
      <w:r>
        <w:rPr>
          <w:rFonts w:eastAsia="楷体_GB2312" w:cs="Times New Roman"/>
          <w:szCs w:val="32"/>
        </w:rPr>
        <w:fldChar w:fldCharType="end"/>
      </w:r>
      <w:r>
        <w:rPr>
          <w:rFonts w:eastAsia="楷体_GB2312" w:cs="Times New Roman"/>
          <w:szCs w:val="32"/>
        </w:rPr>
        <w:fldChar w:fldCharType="end"/>
      </w:r>
    </w:p>
    <w:p w14:paraId="6F6B6B48">
      <w:pPr>
        <w:pStyle w:val="14"/>
        <w:tabs>
          <w:tab w:val="right" w:leader="dot" w:pos="8844"/>
        </w:tabs>
        <w:spacing w:line="560" w:lineRule="exact"/>
        <w:ind w:firstLine="640"/>
        <w:rPr>
          <w:rFonts w:eastAsia="楷体_GB2312" w:cs="Times New Roman"/>
        </w:rPr>
      </w:pPr>
      <w:r>
        <w:rPr>
          <w:rFonts w:eastAsia="楷体_GB2312"/>
        </w:rPr>
        <w:fldChar w:fldCharType="begin"/>
      </w:r>
      <w:r>
        <w:rPr>
          <w:rFonts w:eastAsia="楷体_GB2312"/>
        </w:rPr>
        <w:instrText xml:space="preserve"> HYPERLINK \l "_Toc28694" </w:instrText>
      </w:r>
      <w:r>
        <w:rPr>
          <w:rFonts w:eastAsia="楷体_GB2312"/>
        </w:rPr>
        <w:fldChar w:fldCharType="separate"/>
      </w:r>
      <w:r>
        <w:rPr>
          <w:rFonts w:eastAsia="楷体_GB2312" w:cs="Times New Roman"/>
          <w:szCs w:val="32"/>
        </w:rPr>
        <w:t>第四节  广泛凝聚各方力量</w:t>
      </w:r>
      <w:r>
        <w:rPr>
          <w:rFonts w:eastAsia="楷体_GB2312" w:cs="Times New Roman"/>
          <w:szCs w:val="32"/>
        </w:rPr>
        <w:tab/>
      </w:r>
      <w:r>
        <w:rPr>
          <w:rFonts w:eastAsia="楷体_GB2312" w:cs="Times New Roman"/>
          <w:szCs w:val="32"/>
        </w:rPr>
        <w:fldChar w:fldCharType="begin"/>
      </w:r>
      <w:r>
        <w:rPr>
          <w:rFonts w:eastAsia="楷体_GB2312" w:cs="Times New Roman"/>
          <w:szCs w:val="32"/>
        </w:rPr>
        <w:instrText xml:space="preserve"> PAGEREF _Toc28694 \h </w:instrText>
      </w:r>
      <w:r>
        <w:rPr>
          <w:rFonts w:eastAsia="楷体_GB2312" w:cs="Times New Roman"/>
          <w:szCs w:val="32"/>
        </w:rPr>
        <w:fldChar w:fldCharType="separate"/>
      </w:r>
      <w:r>
        <w:rPr>
          <w:rFonts w:eastAsia="楷体_GB2312" w:cs="Times New Roman"/>
          <w:szCs w:val="32"/>
        </w:rPr>
        <w:t>113</w:t>
      </w:r>
      <w:r>
        <w:rPr>
          <w:rFonts w:eastAsia="楷体_GB2312" w:cs="Times New Roman"/>
          <w:szCs w:val="32"/>
        </w:rPr>
        <w:fldChar w:fldCharType="end"/>
      </w:r>
      <w:r>
        <w:rPr>
          <w:rFonts w:eastAsia="楷体_GB2312" w:cs="Times New Roman"/>
          <w:szCs w:val="32"/>
        </w:rPr>
        <w:fldChar w:fldCharType="end"/>
      </w:r>
    </w:p>
    <w:p w14:paraId="06FFAC96">
      <w:pPr>
        <w:pStyle w:val="7"/>
        <w:outlineLvl w:val="1"/>
        <w:rPr>
          <w:rFonts w:ascii="Times New Roman" w:hAnsi="Times New Roman" w:eastAsia="方正小标宋_GBK" w:cs="Times New Roman"/>
          <w:bCs/>
          <w:spacing w:val="8"/>
          <w:kern w:val="44"/>
          <w:sz w:val="36"/>
          <w:szCs w:val="36"/>
        </w:rPr>
      </w:pPr>
      <w:r>
        <w:rPr>
          <w:rFonts w:ascii="Times New Roman" w:hAnsi="Times New Roman" w:eastAsia="方正小标宋_GBK" w:cs="Times New Roman"/>
          <w:bCs/>
          <w:spacing w:val="8"/>
          <w:kern w:val="44"/>
          <w:sz w:val="32"/>
          <w:szCs w:val="32"/>
          <w:lang w:eastAsia="zh-CN"/>
        </w:rPr>
        <w:fldChar w:fldCharType="end"/>
      </w:r>
    </w:p>
    <w:p w14:paraId="198C9AAF">
      <w:pPr>
        <w:pStyle w:val="2"/>
        <w:adjustRightInd w:val="0"/>
        <w:ind w:left="630"/>
        <w:textAlignment w:val="baseline"/>
        <w:rPr>
          <w:rFonts w:ascii="Times New Roman" w:hAnsi="Times New Roman" w:eastAsia="方正小标宋_GBK" w:cs="Times New Roman"/>
          <w:bCs/>
          <w:spacing w:val="8"/>
          <w:sz w:val="36"/>
          <w:szCs w:val="36"/>
        </w:rPr>
        <w:sectPr>
          <w:footerReference r:id="rId11" w:type="default"/>
          <w:pgSz w:w="11906" w:h="16838"/>
          <w:pgMar w:top="1814" w:right="1531" w:bottom="1984" w:left="1531" w:header="851" w:footer="992" w:gutter="0"/>
          <w:pgNumType w:fmt="upperRoman" w:start="1"/>
          <w:cols w:space="0" w:num="1"/>
          <w:docGrid w:type="lines" w:linePitch="312" w:charSpace="0"/>
        </w:sectPr>
      </w:pPr>
    </w:p>
    <w:p w14:paraId="4216FB26">
      <w:pPr>
        <w:pStyle w:val="2"/>
      </w:pPr>
      <w:bookmarkStart w:id="2" w:name="_Toc26788"/>
      <w:bookmarkStart w:id="3" w:name="_Toc24011"/>
      <w:bookmarkStart w:id="4" w:name="_Toc8451"/>
      <w:bookmarkStart w:id="5" w:name="_Toc8010"/>
      <w:bookmarkStart w:id="6" w:name="_Toc27171"/>
      <w:bookmarkStart w:id="7" w:name="_Toc7771"/>
      <w:bookmarkStart w:id="8" w:name="_Toc20400"/>
      <w:bookmarkStart w:id="9" w:name="_Toc28717"/>
      <w:bookmarkStart w:id="10" w:name="_Toc30855"/>
      <w:bookmarkStart w:id="11" w:name="_Toc15508"/>
      <w:bookmarkStart w:id="12" w:name="_Toc26398"/>
      <w:bookmarkStart w:id="13" w:name="_Toc656"/>
      <w:bookmarkStart w:id="14" w:name="_Toc3500"/>
      <w:bookmarkStart w:id="15" w:name="_Toc2128"/>
      <w:r>
        <w:t>序  言</w:t>
      </w:r>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p>
    <w:p w14:paraId="06ADB6E7">
      <w:pPr>
        <w:rPr>
          <w:rFonts w:cs="Times New Roman"/>
          <w:szCs w:val="32"/>
        </w:rPr>
        <w:sectPr>
          <w:footerReference r:id="rId12" w:type="default"/>
          <w:pgSz w:w="11906" w:h="16838"/>
          <w:pgMar w:top="1814" w:right="1531" w:bottom="1984" w:left="1531" w:header="510" w:footer="1474" w:gutter="0"/>
          <w:pgNumType w:start="1"/>
          <w:cols w:space="0" w:num="1"/>
          <w:docGrid w:type="lines" w:linePitch="312" w:charSpace="0"/>
        </w:sectPr>
      </w:pPr>
      <w:r>
        <w:rPr>
          <w:rFonts w:cs="Times New Roman"/>
          <w:szCs w:val="32"/>
        </w:rPr>
        <w:t>“十五五”时期是基本实现社会主义现代化夯实基础、全面发力的关键时期。这五年，也是海门全面贯彻习近平新时代中国特色社会主义思想，落实习近平总书记对江苏工作重要讲话重要指示精神，深化高质量发展，推进中国式现代化海门新实践的关键阶段。根据《中共中央关于制定国民经济和社会发展第十五个五年规划的建议》《中共江苏省委关于制定江苏省国民经济和社会发展第十五个五年规划的建议》《中共南通市委关于制定南通市国民经济和社会发展第十五个五年规划的建议》《中共南通市海门区委关于制定南通市海门区国民经济和社会发展第十五个五年规划的建议》，编制《南通市海门区国民经济和社会发展第十五个五年规划纲要》，主要阐明“十五五”时期的发展思路、主要目标、重点任务和政策取向，是政府履行职责的重要依据，是全区人民共同奋斗的行动纲领。</w:t>
      </w:r>
    </w:p>
    <w:p w14:paraId="514E6414">
      <w:pPr>
        <w:pStyle w:val="2"/>
        <w:rPr>
          <w:rFonts w:ascii="Times New Roman" w:hAnsi="Times New Roman" w:cs="Times New Roman"/>
        </w:rPr>
      </w:pPr>
      <w:bookmarkStart w:id="16" w:name="_Toc15871"/>
      <w:bookmarkStart w:id="17" w:name="_Toc1522"/>
      <w:bookmarkStart w:id="18" w:name="_Toc11513"/>
      <w:bookmarkStart w:id="19" w:name="_Toc24821"/>
      <w:bookmarkStart w:id="20" w:name="_Toc12447"/>
      <w:bookmarkStart w:id="21" w:name="_Toc24557"/>
      <w:bookmarkStart w:id="22" w:name="_Toc31309"/>
      <w:bookmarkStart w:id="23" w:name="_Toc14821"/>
      <w:bookmarkStart w:id="24" w:name="_Toc9006"/>
      <w:bookmarkStart w:id="25" w:name="_Toc19842"/>
      <w:bookmarkStart w:id="26" w:name="_Toc14535"/>
      <w:bookmarkStart w:id="27" w:name="_Toc4065"/>
      <w:bookmarkStart w:id="28" w:name="_Toc7718"/>
      <w:bookmarkStart w:id="29" w:name="_Toc25969"/>
      <w:r>
        <w:rPr>
          <w:rFonts w:ascii="Times New Roman" w:hAnsi="Times New Roman" w:cs="Times New Roman"/>
        </w:rPr>
        <w:t>第一章  踔厉奋发  中国式现代化海门新实践实现良好开局</w:t>
      </w:r>
      <w:bookmarkEnd w:id="16"/>
      <w:bookmarkEnd w:id="17"/>
      <w:bookmarkEnd w:id="18"/>
      <w:bookmarkEnd w:id="19"/>
      <w:bookmarkEnd w:id="20"/>
      <w:bookmarkEnd w:id="21"/>
      <w:bookmarkEnd w:id="22"/>
      <w:bookmarkEnd w:id="23"/>
      <w:bookmarkEnd w:id="24"/>
      <w:bookmarkEnd w:id="25"/>
      <w:bookmarkEnd w:id="26"/>
      <w:bookmarkEnd w:id="27"/>
      <w:bookmarkEnd w:id="28"/>
      <w:bookmarkEnd w:id="29"/>
    </w:p>
    <w:p w14:paraId="47623AE4">
      <w:pPr>
        <w:pStyle w:val="3"/>
      </w:pPr>
      <w:bookmarkStart w:id="30" w:name="_Toc2283"/>
      <w:bookmarkStart w:id="31" w:name="_Toc5220"/>
      <w:bookmarkStart w:id="32" w:name="_Toc17452"/>
      <w:bookmarkStart w:id="33" w:name="_Toc21395"/>
      <w:bookmarkStart w:id="34" w:name="_Toc27176"/>
      <w:bookmarkStart w:id="35" w:name="_Toc30211"/>
      <w:bookmarkStart w:id="36" w:name="_Toc17479"/>
      <w:bookmarkStart w:id="37" w:name="_Toc27298"/>
      <w:bookmarkStart w:id="38" w:name="_Toc25508"/>
      <w:bookmarkStart w:id="39" w:name="_Toc3932"/>
      <w:bookmarkStart w:id="40" w:name="_Toc29946"/>
      <w:bookmarkStart w:id="41" w:name="_Toc2144"/>
      <w:bookmarkStart w:id="42" w:name="_Toc3057"/>
      <w:bookmarkStart w:id="43" w:name="_Toc16933"/>
      <w:r>
        <w:t>第一节  发展基础</w:t>
      </w:r>
      <w:bookmarkEnd w:id="30"/>
      <w:bookmarkEnd w:id="31"/>
      <w:bookmarkEnd w:id="32"/>
      <w:bookmarkEnd w:id="33"/>
      <w:bookmarkEnd w:id="34"/>
      <w:bookmarkEnd w:id="35"/>
      <w:bookmarkEnd w:id="36"/>
      <w:bookmarkEnd w:id="37"/>
      <w:bookmarkEnd w:id="38"/>
      <w:bookmarkEnd w:id="39"/>
      <w:bookmarkEnd w:id="40"/>
      <w:bookmarkEnd w:id="41"/>
      <w:bookmarkEnd w:id="42"/>
      <w:bookmarkEnd w:id="43"/>
    </w:p>
    <w:p w14:paraId="1E7A1EB0">
      <w:r>
        <w:t>“十四五”以来，全区上下以习近平新时代中国特色社会主义思想为指导，全面贯彻党的二十大和二十届历次全会精神，认真落实习近平总书记对江苏工作重要讲话重要指示精神，建立健全每月经济形势分析会、“十二项专项行动”月度调度“两项机制”，扎实推进重大产业项目、科创项目、现代服务业项目招引建设和国企高质量发展、党建引领基层治理、平安海门建设等“十二项专项行动”，全力抓好大抓招商、服务企业、都市圈同城化、防范风险“四项重点工作”，坚定扛起重要板块勇挑大梁、多作贡献的政治责任，扎实推进“强富美高”新海门现代化建设，经济社会各领域取得崭新成绩，在推进中国式现代化海门新实践的征程中迈出坚实步伐。</w:t>
      </w:r>
    </w:p>
    <w:p w14:paraId="4DF801F4">
      <w:pPr>
        <w:rPr>
          <w:rFonts w:cs="Times New Roman"/>
        </w:rPr>
      </w:pPr>
      <w:r>
        <w:rPr>
          <w:rFonts w:hint="eastAsia" w:ascii="楷体_GB2312" w:eastAsia="楷体_GB2312" w:cs="Times New Roman"/>
        </w:rPr>
        <w:t>综合实力稳中有升。</w:t>
      </w:r>
      <w:r>
        <w:rPr>
          <w:rFonts w:cs="Times New Roman"/>
        </w:rPr>
        <w:t>地区生产总值五年连跨四个百亿台阶，达</w:t>
      </w:r>
      <w:r>
        <w:rPr>
          <w:rFonts w:hint="eastAsia" w:cs="Times New Roman"/>
        </w:rPr>
        <w:t>1785</w:t>
      </w:r>
      <w:r>
        <w:rPr>
          <w:rFonts w:cs="Times New Roman"/>
        </w:rPr>
        <w:t>亿元。1项工作获国务院督查激励，14项工作获省政府督查激励。四度获评“全省高质量发展先进县市区”。位列“全国综合实力百强区”第17位、江苏第5位。5个镇跻身“全国综合实力千强镇”。海门港新区获批省级经济开发区，临江新区</w:t>
      </w:r>
      <w:r>
        <w:rPr>
          <w:rFonts w:hint="eastAsia" w:cs="Times New Roman"/>
        </w:rPr>
        <w:t>获批</w:t>
      </w:r>
      <w:r>
        <w:rPr>
          <w:rFonts w:cs="Times New Roman"/>
        </w:rPr>
        <w:t>省级高新区，包场镇成功创建省级经济发达镇。重大项目支撑有力，新开工5亿元以上产业项目173个，省级重大项目入选数连续五年位居南通前列。市场主体活力迸发，规上工业企业总数从2020年的677家增加到89</w:t>
      </w:r>
      <w:r>
        <w:rPr>
          <w:rFonts w:hint="eastAsia" w:cs="Times New Roman"/>
          <w:lang w:val="en-US" w:eastAsia="zh-CN"/>
        </w:rPr>
        <w:t>4</w:t>
      </w:r>
      <w:r>
        <w:rPr>
          <w:rFonts w:cs="Times New Roman"/>
        </w:rPr>
        <w:t>家，五年增加了21</w:t>
      </w:r>
      <w:r>
        <w:rPr>
          <w:rFonts w:hint="eastAsia" w:cs="Times New Roman"/>
          <w:lang w:val="en-US" w:eastAsia="zh-CN"/>
        </w:rPr>
        <w:t>7</w:t>
      </w:r>
      <w:r>
        <w:rPr>
          <w:rFonts w:cs="Times New Roman"/>
        </w:rPr>
        <w:t>家。</w:t>
      </w:r>
    </w:p>
    <w:p w14:paraId="3E6FDA70">
      <w:pPr>
        <w:rPr>
          <w:rFonts w:cs="Times New Roman"/>
        </w:rPr>
      </w:pPr>
      <w:r>
        <w:rPr>
          <w:rFonts w:hint="eastAsia" w:ascii="楷体_GB2312" w:eastAsia="楷体_GB2312" w:cs="Times New Roman"/>
        </w:rPr>
        <w:t>产业转型步伐加快。</w:t>
      </w:r>
      <w:r>
        <w:rPr>
          <w:rFonts w:cs="Times New Roman"/>
        </w:rPr>
        <w:t>制造强区战略深入实施，工业开票销售总量突破两千亿元，战略性新兴产业占比超过40%。建成全市首家生物医药领域省级新型工业化产业示范基地，创新药物及制剂产业集群入选省级中小企业特色产业集群入围名单。获评省制造业智改数转成效明显地区，新增省级及以上智能工厂（车间）43个、工业互联网平台2个。现代服务业量稳质升，作为重要承载地，助力南通获评商贸服务型、港口型等两大国家物流枢纽；入选全国首批县域商业体系建设“领跑县”，创成省级全域旅游示范区，叠石桥电商产业集聚区创成省首批县域电商产业集聚区，获评4个省级服务业高质量发展集聚示范区、4家省级现代服务业高质量发展领军企业、7家省级“两业融合”试点单位。</w:t>
      </w:r>
    </w:p>
    <w:p w14:paraId="641BCAA2">
      <w:pPr>
        <w:rPr>
          <w:rFonts w:cs="Times New Roman"/>
        </w:rPr>
      </w:pPr>
      <w:r>
        <w:rPr>
          <w:rFonts w:ascii="楷体_GB2312" w:eastAsia="楷体_GB2312" w:cs="Times New Roman"/>
        </w:rPr>
        <w:t>创新能力实现突破。</w:t>
      </w:r>
      <w:r>
        <w:rPr>
          <w:rFonts w:cs="Times New Roman"/>
        </w:rPr>
        <w:t>获批国家知识产权强县建设试点县，入选省创新型示范区建设名单，获评长江以北唯一的江苏人才发展现代化建设试点地区。全社会研发投入占比达2.8%，万人有效发明专利拥有量达62件、是2020年的1.5倍。新增高新技术企业近200家、国家级制造业单项冠军企业5家、国家级专精特新“小巨人”企业21家、江苏专精特新中小企业</w:t>
      </w:r>
      <w:r>
        <w:rPr>
          <w:rFonts w:cs="Times New Roman"/>
          <w:szCs w:val="40"/>
        </w:rPr>
        <w:t>142</w:t>
      </w:r>
      <w:r>
        <w:rPr>
          <w:rFonts w:cs="Times New Roman"/>
        </w:rPr>
        <w:t>家，获评国家独角兽企业1家、省级瞪羚企业11</w:t>
      </w:r>
      <w:r>
        <w:rPr>
          <w:rFonts w:hint="eastAsia" w:cs="Times New Roman"/>
          <w:highlight w:val="none"/>
          <w:lang w:eastAsia="zh-CN"/>
        </w:rPr>
        <w:t>家</w:t>
      </w:r>
      <w:r>
        <w:rPr>
          <w:rFonts w:cs="Times New Roman"/>
        </w:rPr>
        <w:t>，实现相关领域“零”的突破。新增省级以上科创载体16家、市级以上研发平台133家。海门生物医药科创园获评南通唯一的省级首批标杆孵化器，建成省长三角船舶与海工装备技术创新中心、省新药一站式高效非临床评价公共服务平台等省级平台。打响“东洲英才”“1+3+N”品牌矩阵，国家重大人才工程入选数连续五年位列南通第一，省“双创计划”人才入选数连续八年位列南通第一。</w:t>
      </w:r>
    </w:p>
    <w:p w14:paraId="1939A1CA">
      <w:pPr>
        <w:rPr>
          <w:rFonts w:cs="Times New Roman"/>
        </w:rPr>
      </w:pPr>
      <w:r>
        <w:rPr>
          <w:rFonts w:ascii="楷体_GB2312" w:eastAsia="楷体_GB2312" w:cs="Times New Roman"/>
        </w:rPr>
        <w:t>改革开放卓有成效。</w:t>
      </w:r>
      <w:r>
        <w:rPr>
          <w:rFonts w:cs="Times New Roman"/>
        </w:rPr>
        <w:t>“一平台”办件量、镇村应用面南通领先，126个事项实现“一件事一次办”，98.5%的审批服务事项实现“不见面审批”，“万事好通·马上办”营商环境品牌全面打响。国企构建了由10家“AA+”和5家“AA”级企业组成的高信用等级梯队，全省首家国企集采中心建成投运。都市圈同城化步伐加快，与上海虹口区、临港集团等开展实质性合作，162项高频事项实现“跨域通办”，200项事项实现“省内通办”。北沿江高铁、海太长江隧道等建设取得标志性进展，疏港铁路一期、洋吕铁路、通锡高速公路等全面建成，通州湾港区河海交界水域获批全国第二个、江苏首个“相当A级航区”，新建2万吨级以上泊位18个。“十四五”期间，利用外资走在全市前列，累计实现外贸进出口总额超1800亿元，外经对外承包工程营业额超28亿美元。海门开发区获批江苏自贸区联动创新发展区，跨境电商产业园获评省跨境电子商务产业园。</w:t>
      </w:r>
    </w:p>
    <w:p w14:paraId="53007C4D">
      <w:pPr>
        <w:rPr>
          <w:rFonts w:cs="Times New Roman"/>
        </w:rPr>
      </w:pPr>
      <w:r>
        <w:rPr>
          <w:rFonts w:ascii="楷体_GB2312" w:eastAsia="楷体_GB2312" w:cs="Times New Roman"/>
        </w:rPr>
        <w:t>城乡魅力更加彰显。</w:t>
      </w:r>
      <w:r>
        <w:rPr>
          <w:rFonts w:cs="Times New Roman"/>
        </w:rPr>
        <w:t>城区功能品质不断提质，謇公湖、府南等重点片区提速成型，海门体育中心、文化中心等地标项目落地，建成区绿地率达43.41%，23个老旧小区（片区）改造任务顺利完成，获批全国城乡交通运输一体化示范区。乡村振兴</w:t>
      </w:r>
      <w:r>
        <w:rPr>
          <w:rFonts w:hint="eastAsia" w:cs="Times New Roman"/>
          <w:highlight w:val="none"/>
          <w:lang w:eastAsia="zh-CN"/>
        </w:rPr>
        <w:t>工作</w:t>
      </w:r>
      <w:r>
        <w:rPr>
          <w:rFonts w:cs="Times New Roman"/>
          <w:highlight w:val="none"/>
        </w:rPr>
        <w:t>实绩</w:t>
      </w:r>
      <w:r>
        <w:rPr>
          <w:rFonts w:cs="Times New Roman"/>
        </w:rPr>
        <w:t>连续五年位居全省第一方阵，入选国家农村综合性改革试点试验、国家农业绿色发展先行区创建名单，获评全国休闲农业重点县、全国现代设施农业创新引领区、江苏推进乡村全面振兴争先进位县、省级农业现代化先行区等荣誉，正余镇获评首批国家农业产业强镇；张謇故里宜居宜业和美乡村片区入选省首批片区培育名单，建成省级宜居宜业和美乡村39个、省级特色田园乡村7个。</w:t>
      </w:r>
    </w:p>
    <w:p w14:paraId="54AD7F79">
      <w:pPr>
        <w:widowControl/>
        <w:rPr>
          <w:rFonts w:eastAsia="楷体_GB2312" w:cs="Times New Roman"/>
        </w:rPr>
      </w:pPr>
      <w:r>
        <w:rPr>
          <w:rFonts w:ascii="楷体_GB2312" w:eastAsia="楷体_GB2312" w:cs="Times New Roman"/>
        </w:rPr>
        <w:t>生态环境显著改善</w:t>
      </w:r>
      <w:r>
        <w:rPr>
          <w:rFonts w:eastAsia="楷体_GB2312" w:cs="Times New Roman"/>
        </w:rPr>
        <w:t>。</w:t>
      </w:r>
      <w:r>
        <w:rPr>
          <w:rFonts w:cs="Times New Roman"/>
        </w:rPr>
        <w:t>获评国家级和省级生态文明建设示范区，沿江生态建设成为全省首批生态产品价值实现机制典型，青龙河整治入选国家长江经济带生态环境警示片唯一正面案例。深入打好蓝天、碧水、净土保卫战，省市考断面水质优Ⅲ类比例连续5年达100%，受污染耕地安全利用率和重点建设用地安全利用率均达100%。绿色低碳发展持续推进，新能源装机容量占比超60%，新增4家国家级绿色工厂、1家国家级绿色供应链管理企业、11家省级绿色工厂，创成省碳达峰碳中和企业试点1个。</w:t>
      </w:r>
    </w:p>
    <w:p w14:paraId="1F001535">
      <w:pPr>
        <w:rPr>
          <w:rFonts w:eastAsia="黑体" w:cs="Times New Roman"/>
          <w:sz w:val="24"/>
          <w:szCs w:val="21"/>
        </w:rPr>
      </w:pPr>
      <w:r>
        <w:rPr>
          <w:rFonts w:ascii="楷体_GB2312" w:eastAsia="楷体_GB2312" w:cs="Times New Roman"/>
        </w:rPr>
        <w:t>民生建设亮点纷呈</w:t>
      </w:r>
      <w:r>
        <w:rPr>
          <w:rFonts w:eastAsia="楷体_GB2312" w:cs="Times New Roman"/>
        </w:rPr>
        <w:t>。</w:t>
      </w:r>
      <w:r>
        <w:rPr>
          <w:rFonts w:cs="Times New Roman"/>
        </w:rPr>
        <w:t>全体居民人均可支配收入达5.86万元，城乡居民收入差距缩小至1.7</w:t>
      </w:r>
      <w:r>
        <w:rPr>
          <w:rFonts w:hint="eastAsia" w:cs="Times New Roman"/>
        </w:rPr>
        <w:t>2</w:t>
      </w:r>
      <w:r>
        <w:rPr>
          <w:rFonts w:cs="Times New Roman"/>
        </w:rPr>
        <w:t>:1。累计新增城镇就业5.11万人，支持1.16万人自主创业。创成全国首批义务教育优质均衡发展县（市、区）、国家学前教育普及普惠县（市、区）、全国首批中小学科学教育实验区、省融合教育示范区，海门中学建成省首批高品质示范高中，实验学校入选教育部人文特色高中唯一案例。中医院新院创成三级中医医院，省中医重点建设专科实现“零”的突破。“一老一小”服务日益健全，入围全国首批医养结合示范区建设单位，建成省级示范托育单位3家、省普惠托育单位10家，国企办“1+N”托育服务新模式在全国推广。累计创成省市级“新型公共文化空间”20家，区图书馆创成国家一级图书馆，江海博物馆升级为国家二级博物馆，新时代文明实践中心实现区镇村阵地全覆盖。长护险和区镇“15分钟医保服务圈”实现全覆盖。社会治理效能有序提升，获评全国首批社会治安防控体系建设示范城市，连续三年入选“中国社会治理百强县（市、区）”，创成国家级民主法治示范村3个，生产安全事故起数、死亡人数实现双下降，群众安全感稳定在98%以上。</w:t>
      </w:r>
    </w:p>
    <w:p w14:paraId="613A5A55">
      <w:pPr>
        <w:ind w:firstLine="0" w:firstLineChars="0"/>
        <w:jc w:val="center"/>
        <w:rPr>
          <w:rFonts w:cs="Times New Roman"/>
        </w:rPr>
      </w:pPr>
      <w:r>
        <w:rPr>
          <w:rFonts w:eastAsia="黑体" w:cs="Times New Roman"/>
          <w:sz w:val="24"/>
          <w:szCs w:val="21"/>
        </w:rPr>
        <w:t>表1  “十四五”时期海门获得的荣誉</w:t>
      </w:r>
    </w:p>
    <w:tbl>
      <w:tblPr>
        <w:tblStyle w:val="2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80"/>
        <w:gridCol w:w="5838"/>
        <w:gridCol w:w="1062"/>
      </w:tblGrid>
      <w:tr w14:paraId="2E9CD3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1280" w:type="dxa"/>
          </w:tcPr>
          <w:p w14:paraId="16A8650B">
            <w:pPr>
              <w:pStyle w:val="5"/>
              <w:keepNext w:val="0"/>
              <w:keepLines w:val="0"/>
              <w:pageBreakBefore w:val="0"/>
              <w:kinsoku/>
              <w:wordWrap/>
              <w:overflowPunct/>
              <w:topLinePunct w:val="0"/>
              <w:autoSpaceDE/>
              <w:autoSpaceDN/>
              <w:bidi w:val="0"/>
              <w:adjustRightInd/>
              <w:snapToGrid/>
              <w:spacing w:line="400" w:lineRule="exact"/>
              <w:ind w:firstLine="0" w:firstLineChars="0"/>
              <w:jc w:val="center"/>
              <w:rPr>
                <w:rFonts w:ascii="Times New Roman" w:hAnsi="Times New Roman" w:eastAsia="方正黑体_GBK"/>
                <w:sz w:val="24"/>
                <w:szCs w:val="21"/>
              </w:rPr>
            </w:pPr>
            <w:r>
              <w:rPr>
                <w:rFonts w:ascii="Times New Roman" w:hAnsi="Times New Roman" w:eastAsia="黑体"/>
                <w:sz w:val="24"/>
                <w:szCs w:val="21"/>
              </w:rPr>
              <w:t>年份</w:t>
            </w:r>
          </w:p>
        </w:tc>
        <w:tc>
          <w:tcPr>
            <w:tcW w:w="5838" w:type="dxa"/>
          </w:tcPr>
          <w:p w14:paraId="55391BA1">
            <w:pPr>
              <w:pStyle w:val="5"/>
              <w:keepNext w:val="0"/>
              <w:keepLines w:val="0"/>
              <w:pageBreakBefore w:val="0"/>
              <w:kinsoku/>
              <w:wordWrap/>
              <w:overflowPunct/>
              <w:topLinePunct w:val="0"/>
              <w:autoSpaceDE/>
              <w:autoSpaceDN/>
              <w:bidi w:val="0"/>
              <w:adjustRightInd/>
              <w:snapToGrid/>
              <w:spacing w:line="400" w:lineRule="exact"/>
              <w:ind w:firstLine="0" w:firstLineChars="0"/>
              <w:jc w:val="center"/>
              <w:rPr>
                <w:rFonts w:ascii="Times New Roman" w:hAnsi="Times New Roman" w:eastAsia="方正黑体_GBK"/>
                <w:sz w:val="24"/>
                <w:szCs w:val="21"/>
              </w:rPr>
            </w:pPr>
            <w:r>
              <w:rPr>
                <w:rFonts w:ascii="Times New Roman" w:hAnsi="Times New Roman" w:eastAsia="黑体"/>
                <w:sz w:val="24"/>
                <w:szCs w:val="21"/>
              </w:rPr>
              <w:t>获得荣誉</w:t>
            </w:r>
          </w:p>
        </w:tc>
        <w:tc>
          <w:tcPr>
            <w:tcW w:w="1062" w:type="dxa"/>
          </w:tcPr>
          <w:p w14:paraId="0AE5D804">
            <w:pPr>
              <w:pStyle w:val="5"/>
              <w:keepNext w:val="0"/>
              <w:keepLines w:val="0"/>
              <w:pageBreakBefore w:val="0"/>
              <w:kinsoku/>
              <w:wordWrap/>
              <w:overflowPunct/>
              <w:topLinePunct w:val="0"/>
              <w:autoSpaceDE/>
              <w:autoSpaceDN/>
              <w:bidi w:val="0"/>
              <w:adjustRightInd/>
              <w:snapToGrid/>
              <w:spacing w:line="400" w:lineRule="exact"/>
              <w:ind w:firstLine="0" w:firstLineChars="0"/>
              <w:jc w:val="center"/>
              <w:rPr>
                <w:rFonts w:ascii="Times New Roman" w:hAnsi="Times New Roman" w:eastAsia="方正黑体_GBK"/>
                <w:sz w:val="24"/>
                <w:szCs w:val="21"/>
              </w:rPr>
            </w:pPr>
            <w:r>
              <w:rPr>
                <w:rFonts w:ascii="Times New Roman" w:hAnsi="Times New Roman" w:eastAsia="黑体"/>
                <w:sz w:val="24"/>
                <w:szCs w:val="21"/>
              </w:rPr>
              <w:t>级别</w:t>
            </w:r>
          </w:p>
        </w:tc>
      </w:tr>
      <w:tr w14:paraId="4D5441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80" w:type="dxa"/>
            <w:vAlign w:val="center"/>
          </w:tcPr>
          <w:p w14:paraId="5177B665">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center"/>
              <w:rPr>
                <w:rFonts w:cs="Times New Roman"/>
                <w:kern w:val="0"/>
                <w:sz w:val="24"/>
                <w:lang w:bidi="ar"/>
              </w:rPr>
            </w:pPr>
            <w:r>
              <w:rPr>
                <w:rFonts w:cs="Times New Roman"/>
                <w:kern w:val="0"/>
                <w:sz w:val="24"/>
                <w:lang w:bidi="ar"/>
              </w:rPr>
              <w:t>2025</w:t>
            </w:r>
          </w:p>
        </w:tc>
        <w:tc>
          <w:tcPr>
            <w:tcW w:w="5838" w:type="dxa"/>
            <w:vAlign w:val="center"/>
          </w:tcPr>
          <w:p w14:paraId="789D31FB">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center"/>
              <w:rPr>
                <w:rFonts w:hint="eastAsia" w:ascii="仿宋_GB2312" w:hAnsi="仿宋_GB2312" w:eastAsia="仿宋_GB2312" w:cs="仿宋_GB2312"/>
                <w:kern w:val="0"/>
                <w:sz w:val="24"/>
                <w:lang w:bidi="ar"/>
              </w:rPr>
            </w:pPr>
            <w:r>
              <w:rPr>
                <w:rFonts w:hint="eastAsia" w:ascii="仿宋_GB2312" w:hAnsi="仿宋_GB2312" w:eastAsia="仿宋_GB2312" w:cs="仿宋_GB2312"/>
                <w:kern w:val="0"/>
                <w:sz w:val="24"/>
                <w:lang w:bidi="ar"/>
              </w:rPr>
              <w:t>国家生态文明建设示范区</w:t>
            </w:r>
          </w:p>
        </w:tc>
        <w:tc>
          <w:tcPr>
            <w:tcW w:w="1062" w:type="dxa"/>
            <w:vAlign w:val="center"/>
          </w:tcPr>
          <w:p w14:paraId="41935C99">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center"/>
              <w:rPr>
                <w:rFonts w:eastAsia="方正仿宋_GBK" w:cs="Times New Roman"/>
                <w:kern w:val="0"/>
                <w:sz w:val="24"/>
                <w:lang w:bidi="ar"/>
              </w:rPr>
            </w:pPr>
            <w:r>
              <w:rPr>
                <w:rFonts w:cs="Times New Roman"/>
                <w:kern w:val="0"/>
                <w:sz w:val="24"/>
                <w:lang w:bidi="ar"/>
              </w:rPr>
              <w:t>国家级</w:t>
            </w:r>
          </w:p>
        </w:tc>
      </w:tr>
      <w:tr w14:paraId="4460E7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80" w:type="dxa"/>
            <w:vAlign w:val="center"/>
          </w:tcPr>
          <w:p w14:paraId="3461EF98">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center"/>
              <w:rPr>
                <w:rFonts w:eastAsia="方正仿宋_GBK" w:cs="Times New Roman"/>
                <w:kern w:val="0"/>
                <w:sz w:val="24"/>
                <w:lang w:bidi="ar"/>
              </w:rPr>
            </w:pPr>
            <w:r>
              <w:rPr>
                <w:rFonts w:cs="Times New Roman"/>
                <w:kern w:val="0"/>
                <w:sz w:val="24"/>
                <w:lang w:bidi="ar"/>
              </w:rPr>
              <w:t>2025</w:t>
            </w:r>
          </w:p>
        </w:tc>
        <w:tc>
          <w:tcPr>
            <w:tcW w:w="5838" w:type="dxa"/>
            <w:vAlign w:val="center"/>
          </w:tcPr>
          <w:p w14:paraId="2C316C1E">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center"/>
              <w:rPr>
                <w:rFonts w:hint="eastAsia" w:ascii="仿宋_GB2312" w:hAnsi="仿宋_GB2312" w:eastAsia="仿宋_GB2312" w:cs="仿宋_GB2312"/>
                <w:kern w:val="0"/>
                <w:sz w:val="24"/>
                <w:lang w:bidi="ar"/>
              </w:rPr>
            </w:pPr>
            <w:r>
              <w:rPr>
                <w:rFonts w:hint="eastAsia" w:ascii="仿宋_GB2312" w:hAnsi="仿宋_GB2312" w:eastAsia="仿宋_GB2312" w:cs="仿宋_GB2312"/>
                <w:kern w:val="0"/>
                <w:sz w:val="24"/>
                <w:lang w:bidi="ar"/>
              </w:rPr>
              <w:t>全国学前教育普及普惠区</w:t>
            </w:r>
          </w:p>
        </w:tc>
        <w:tc>
          <w:tcPr>
            <w:tcW w:w="1062" w:type="dxa"/>
            <w:vAlign w:val="center"/>
          </w:tcPr>
          <w:p w14:paraId="7F0D82D3">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center"/>
              <w:rPr>
                <w:rFonts w:eastAsia="方正仿宋_GBK" w:cs="Times New Roman"/>
                <w:kern w:val="0"/>
                <w:sz w:val="24"/>
                <w:lang w:bidi="ar"/>
              </w:rPr>
            </w:pPr>
            <w:r>
              <w:rPr>
                <w:rFonts w:cs="Times New Roman"/>
                <w:kern w:val="0"/>
                <w:sz w:val="24"/>
                <w:lang w:bidi="ar"/>
              </w:rPr>
              <w:t>国家级</w:t>
            </w:r>
          </w:p>
        </w:tc>
      </w:tr>
      <w:tr w14:paraId="77734D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80" w:type="dxa"/>
            <w:vAlign w:val="center"/>
          </w:tcPr>
          <w:p w14:paraId="54940279">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center"/>
              <w:rPr>
                <w:rFonts w:cs="Times New Roman"/>
                <w:kern w:val="0"/>
                <w:sz w:val="24"/>
                <w:lang w:bidi="ar"/>
              </w:rPr>
            </w:pPr>
            <w:r>
              <w:rPr>
                <w:rFonts w:cs="Times New Roman"/>
                <w:kern w:val="0"/>
                <w:sz w:val="24"/>
                <w:lang w:bidi="ar"/>
              </w:rPr>
              <w:t>2025</w:t>
            </w:r>
          </w:p>
        </w:tc>
        <w:tc>
          <w:tcPr>
            <w:tcW w:w="5838" w:type="dxa"/>
            <w:vAlign w:val="center"/>
          </w:tcPr>
          <w:p w14:paraId="4D2FCAB3">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center"/>
              <w:rPr>
                <w:rFonts w:hint="eastAsia" w:ascii="仿宋_GB2312" w:hAnsi="仿宋_GB2312" w:eastAsia="仿宋_GB2312" w:cs="仿宋_GB2312"/>
                <w:kern w:val="0"/>
                <w:sz w:val="24"/>
                <w:lang w:bidi="ar"/>
              </w:rPr>
            </w:pPr>
            <w:r>
              <w:rPr>
                <w:rFonts w:hint="eastAsia" w:ascii="仿宋_GB2312" w:hAnsi="仿宋_GB2312" w:eastAsia="仿宋_GB2312" w:cs="仿宋_GB2312"/>
                <w:kern w:val="0"/>
                <w:sz w:val="24"/>
                <w:lang w:bidi="ar"/>
              </w:rPr>
              <w:t>全国学习型城市网络城市</w:t>
            </w:r>
          </w:p>
        </w:tc>
        <w:tc>
          <w:tcPr>
            <w:tcW w:w="1062" w:type="dxa"/>
            <w:vAlign w:val="center"/>
          </w:tcPr>
          <w:p w14:paraId="3D8020B3">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center"/>
              <w:rPr>
                <w:rFonts w:cs="Times New Roman"/>
                <w:kern w:val="0"/>
                <w:sz w:val="24"/>
                <w:lang w:bidi="ar"/>
              </w:rPr>
            </w:pPr>
            <w:r>
              <w:rPr>
                <w:rFonts w:cs="Times New Roman"/>
                <w:kern w:val="0"/>
                <w:sz w:val="24"/>
                <w:lang w:bidi="ar"/>
              </w:rPr>
              <w:t>国家级</w:t>
            </w:r>
          </w:p>
        </w:tc>
      </w:tr>
      <w:tr w14:paraId="0E115E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80" w:type="dxa"/>
            <w:vAlign w:val="center"/>
          </w:tcPr>
          <w:p w14:paraId="1D729129">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center"/>
              <w:rPr>
                <w:rFonts w:eastAsia="方正仿宋_GBK" w:cs="Times New Roman"/>
                <w:kern w:val="0"/>
                <w:sz w:val="24"/>
                <w:lang w:bidi="ar"/>
              </w:rPr>
            </w:pPr>
            <w:r>
              <w:rPr>
                <w:rFonts w:cs="Times New Roman"/>
                <w:kern w:val="0"/>
                <w:sz w:val="24"/>
                <w:lang w:bidi="ar"/>
              </w:rPr>
              <w:t>2025</w:t>
            </w:r>
          </w:p>
        </w:tc>
        <w:tc>
          <w:tcPr>
            <w:tcW w:w="5838" w:type="dxa"/>
            <w:vAlign w:val="center"/>
          </w:tcPr>
          <w:p w14:paraId="4F378645">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center"/>
              <w:rPr>
                <w:rFonts w:hint="eastAsia" w:ascii="仿宋_GB2312" w:hAnsi="仿宋_GB2312" w:eastAsia="仿宋_GB2312" w:cs="仿宋_GB2312"/>
                <w:kern w:val="0"/>
                <w:sz w:val="24"/>
                <w:lang w:bidi="ar"/>
              </w:rPr>
            </w:pPr>
            <w:r>
              <w:rPr>
                <w:rFonts w:hint="eastAsia" w:ascii="仿宋_GB2312" w:hAnsi="仿宋_GB2312" w:eastAsia="仿宋_GB2312" w:cs="仿宋_GB2312"/>
                <w:kern w:val="0"/>
                <w:sz w:val="24"/>
                <w:lang w:bidi="ar"/>
              </w:rPr>
              <w:t>全国百城质量提升活动地区</w:t>
            </w:r>
          </w:p>
        </w:tc>
        <w:tc>
          <w:tcPr>
            <w:tcW w:w="1062" w:type="dxa"/>
            <w:vAlign w:val="center"/>
          </w:tcPr>
          <w:p w14:paraId="2026DDA2">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center"/>
              <w:rPr>
                <w:rFonts w:eastAsia="方正仿宋_GBK" w:cs="Times New Roman"/>
                <w:kern w:val="0"/>
                <w:sz w:val="24"/>
                <w:lang w:bidi="ar"/>
              </w:rPr>
            </w:pPr>
            <w:r>
              <w:rPr>
                <w:rFonts w:cs="Times New Roman"/>
                <w:kern w:val="0"/>
                <w:sz w:val="24"/>
                <w:lang w:bidi="ar"/>
              </w:rPr>
              <w:t>国家级</w:t>
            </w:r>
          </w:p>
        </w:tc>
      </w:tr>
      <w:tr w14:paraId="47F040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80" w:type="dxa"/>
            <w:vAlign w:val="center"/>
          </w:tcPr>
          <w:p w14:paraId="4B55D0E3">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center"/>
              <w:rPr>
                <w:rFonts w:eastAsia="方正仿宋_GBK" w:cs="Times New Roman"/>
                <w:kern w:val="0"/>
                <w:sz w:val="24"/>
                <w:lang w:bidi="ar"/>
              </w:rPr>
            </w:pPr>
            <w:r>
              <w:rPr>
                <w:rFonts w:cs="Times New Roman"/>
                <w:kern w:val="0"/>
                <w:sz w:val="24"/>
                <w:lang w:bidi="ar"/>
              </w:rPr>
              <w:t>2025</w:t>
            </w:r>
          </w:p>
        </w:tc>
        <w:tc>
          <w:tcPr>
            <w:tcW w:w="5838" w:type="dxa"/>
            <w:vAlign w:val="center"/>
          </w:tcPr>
          <w:p w14:paraId="363B82AF">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center"/>
              <w:rPr>
                <w:rFonts w:hint="eastAsia" w:ascii="仿宋_GB2312" w:hAnsi="仿宋_GB2312" w:eastAsia="仿宋_GB2312" w:cs="仿宋_GB2312"/>
                <w:kern w:val="0"/>
                <w:sz w:val="24"/>
                <w:lang w:bidi="ar"/>
              </w:rPr>
            </w:pPr>
            <w:r>
              <w:rPr>
                <w:rFonts w:hint="eastAsia" w:ascii="仿宋_GB2312" w:hAnsi="仿宋_GB2312" w:eastAsia="仿宋_GB2312" w:cs="仿宋_GB2312"/>
                <w:kern w:val="0"/>
                <w:sz w:val="24"/>
                <w:lang w:bidi="ar"/>
              </w:rPr>
              <w:t>质量认证服务强企强链强县试点</w:t>
            </w:r>
          </w:p>
        </w:tc>
        <w:tc>
          <w:tcPr>
            <w:tcW w:w="1062" w:type="dxa"/>
            <w:vAlign w:val="center"/>
          </w:tcPr>
          <w:p w14:paraId="241154D5">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center"/>
              <w:rPr>
                <w:rFonts w:eastAsia="方正仿宋_GBK" w:cs="Times New Roman"/>
                <w:kern w:val="0"/>
                <w:sz w:val="24"/>
                <w:lang w:bidi="ar"/>
              </w:rPr>
            </w:pPr>
            <w:r>
              <w:rPr>
                <w:rFonts w:cs="Times New Roman"/>
                <w:kern w:val="0"/>
                <w:sz w:val="24"/>
                <w:lang w:bidi="ar"/>
              </w:rPr>
              <w:t>国家级</w:t>
            </w:r>
          </w:p>
        </w:tc>
      </w:tr>
      <w:tr w14:paraId="7DD257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80" w:type="dxa"/>
            <w:vAlign w:val="center"/>
          </w:tcPr>
          <w:p w14:paraId="66E28A46">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center"/>
              <w:rPr>
                <w:rFonts w:cs="Times New Roman"/>
                <w:kern w:val="0"/>
                <w:sz w:val="24"/>
                <w:lang w:bidi="ar"/>
              </w:rPr>
            </w:pPr>
            <w:r>
              <w:rPr>
                <w:rFonts w:cs="Times New Roman"/>
                <w:kern w:val="0"/>
                <w:sz w:val="24"/>
                <w:lang w:bidi="ar"/>
              </w:rPr>
              <w:t>2024</w:t>
            </w:r>
          </w:p>
        </w:tc>
        <w:tc>
          <w:tcPr>
            <w:tcW w:w="5838" w:type="dxa"/>
            <w:vAlign w:val="center"/>
          </w:tcPr>
          <w:p w14:paraId="1BDF92BF">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center"/>
              <w:rPr>
                <w:rFonts w:hint="eastAsia" w:ascii="仿宋_GB2312" w:hAnsi="仿宋_GB2312" w:eastAsia="仿宋_GB2312" w:cs="仿宋_GB2312"/>
                <w:kern w:val="0"/>
                <w:sz w:val="24"/>
                <w:lang w:bidi="ar"/>
              </w:rPr>
            </w:pPr>
            <w:r>
              <w:rPr>
                <w:rFonts w:hint="eastAsia" w:ascii="仿宋_GB2312" w:hAnsi="仿宋_GB2312" w:eastAsia="仿宋_GB2312" w:cs="仿宋_GB2312"/>
                <w:kern w:val="0"/>
                <w:sz w:val="24"/>
                <w:lang w:bidi="ar"/>
              </w:rPr>
              <w:t>国家知识产权强县建设试点县</w:t>
            </w:r>
          </w:p>
        </w:tc>
        <w:tc>
          <w:tcPr>
            <w:tcW w:w="1062" w:type="dxa"/>
            <w:vAlign w:val="center"/>
          </w:tcPr>
          <w:p w14:paraId="6B0D71C4">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center"/>
              <w:rPr>
                <w:rFonts w:cs="Times New Roman"/>
                <w:kern w:val="0"/>
                <w:sz w:val="24"/>
                <w:lang w:bidi="ar"/>
              </w:rPr>
            </w:pPr>
            <w:r>
              <w:rPr>
                <w:rFonts w:cs="Times New Roman"/>
                <w:kern w:val="0"/>
                <w:sz w:val="24"/>
                <w:lang w:bidi="ar"/>
              </w:rPr>
              <w:t>国家级</w:t>
            </w:r>
          </w:p>
        </w:tc>
      </w:tr>
      <w:tr w14:paraId="5D28DE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80" w:type="dxa"/>
            <w:vAlign w:val="center"/>
          </w:tcPr>
          <w:p w14:paraId="098206F8">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center"/>
              <w:rPr>
                <w:rFonts w:cs="Times New Roman"/>
                <w:kern w:val="0"/>
                <w:sz w:val="24"/>
                <w:lang w:bidi="ar"/>
              </w:rPr>
            </w:pPr>
            <w:r>
              <w:rPr>
                <w:rFonts w:cs="Times New Roman"/>
                <w:kern w:val="0"/>
                <w:sz w:val="24"/>
                <w:lang w:bidi="ar"/>
              </w:rPr>
              <w:t>2024</w:t>
            </w:r>
          </w:p>
        </w:tc>
        <w:tc>
          <w:tcPr>
            <w:tcW w:w="5838" w:type="dxa"/>
            <w:vAlign w:val="center"/>
          </w:tcPr>
          <w:p w14:paraId="5C51FC6F">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center"/>
              <w:rPr>
                <w:rFonts w:hint="eastAsia" w:ascii="仿宋_GB2312" w:hAnsi="仿宋_GB2312" w:eastAsia="仿宋_GB2312" w:cs="仿宋_GB2312"/>
                <w:kern w:val="0"/>
                <w:sz w:val="24"/>
                <w:lang w:bidi="ar"/>
              </w:rPr>
            </w:pPr>
            <w:r>
              <w:rPr>
                <w:rFonts w:hint="eastAsia" w:ascii="仿宋_GB2312" w:hAnsi="仿宋_GB2312" w:eastAsia="仿宋_GB2312" w:cs="仿宋_GB2312"/>
                <w:kern w:val="0"/>
                <w:sz w:val="24"/>
                <w:lang w:bidi="ar"/>
              </w:rPr>
              <w:t>全国现代设施农业创新引领区</w:t>
            </w:r>
          </w:p>
        </w:tc>
        <w:tc>
          <w:tcPr>
            <w:tcW w:w="1062" w:type="dxa"/>
            <w:vAlign w:val="center"/>
          </w:tcPr>
          <w:p w14:paraId="504E0BD6">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center"/>
              <w:rPr>
                <w:rFonts w:cs="Times New Roman"/>
                <w:kern w:val="0"/>
                <w:sz w:val="24"/>
                <w:lang w:bidi="ar"/>
              </w:rPr>
            </w:pPr>
            <w:r>
              <w:rPr>
                <w:rFonts w:cs="Times New Roman"/>
                <w:kern w:val="0"/>
                <w:sz w:val="24"/>
                <w:lang w:bidi="ar"/>
              </w:rPr>
              <w:t>国家级</w:t>
            </w:r>
          </w:p>
        </w:tc>
      </w:tr>
      <w:tr w14:paraId="15B72A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80" w:type="dxa"/>
            <w:vAlign w:val="center"/>
          </w:tcPr>
          <w:p w14:paraId="03F03C7F">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center"/>
              <w:rPr>
                <w:rFonts w:cs="Times New Roman"/>
                <w:kern w:val="0"/>
                <w:sz w:val="24"/>
                <w:lang w:bidi="ar"/>
              </w:rPr>
            </w:pPr>
            <w:r>
              <w:rPr>
                <w:rFonts w:cs="Times New Roman"/>
                <w:kern w:val="0"/>
                <w:sz w:val="24"/>
                <w:lang w:bidi="ar"/>
              </w:rPr>
              <w:t>2024</w:t>
            </w:r>
          </w:p>
        </w:tc>
        <w:tc>
          <w:tcPr>
            <w:tcW w:w="5838" w:type="dxa"/>
            <w:vAlign w:val="center"/>
          </w:tcPr>
          <w:p w14:paraId="324D8E5B">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center"/>
              <w:rPr>
                <w:rFonts w:hint="eastAsia" w:ascii="仿宋_GB2312" w:hAnsi="仿宋_GB2312" w:eastAsia="仿宋_GB2312" w:cs="仿宋_GB2312"/>
                <w:kern w:val="0"/>
                <w:sz w:val="24"/>
                <w:lang w:bidi="ar"/>
              </w:rPr>
            </w:pPr>
            <w:r>
              <w:rPr>
                <w:rFonts w:hint="eastAsia" w:ascii="仿宋_GB2312" w:hAnsi="仿宋_GB2312" w:eastAsia="仿宋_GB2312" w:cs="仿宋_GB2312"/>
                <w:kern w:val="0"/>
                <w:sz w:val="24"/>
                <w:lang w:bidi="ar"/>
              </w:rPr>
              <w:t>全国义务教育优质均衡发展区</w:t>
            </w:r>
          </w:p>
        </w:tc>
        <w:tc>
          <w:tcPr>
            <w:tcW w:w="1062" w:type="dxa"/>
            <w:vAlign w:val="center"/>
          </w:tcPr>
          <w:p w14:paraId="645B1811">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center"/>
              <w:rPr>
                <w:rFonts w:cs="Times New Roman"/>
                <w:kern w:val="0"/>
                <w:sz w:val="24"/>
                <w:lang w:bidi="ar"/>
              </w:rPr>
            </w:pPr>
            <w:r>
              <w:rPr>
                <w:rFonts w:cs="Times New Roman"/>
                <w:kern w:val="0"/>
                <w:sz w:val="24"/>
                <w:lang w:bidi="ar"/>
              </w:rPr>
              <w:t>国家级</w:t>
            </w:r>
          </w:p>
        </w:tc>
      </w:tr>
      <w:tr w14:paraId="697164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80" w:type="dxa"/>
            <w:vAlign w:val="center"/>
          </w:tcPr>
          <w:p w14:paraId="2EDEBBEB">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center"/>
              <w:rPr>
                <w:rFonts w:cs="Times New Roman"/>
                <w:kern w:val="0"/>
                <w:sz w:val="24"/>
                <w:lang w:bidi="ar"/>
              </w:rPr>
            </w:pPr>
            <w:r>
              <w:rPr>
                <w:rFonts w:cs="Times New Roman"/>
                <w:kern w:val="0"/>
                <w:sz w:val="24"/>
                <w:lang w:bidi="ar"/>
              </w:rPr>
              <w:t>2024</w:t>
            </w:r>
          </w:p>
        </w:tc>
        <w:tc>
          <w:tcPr>
            <w:tcW w:w="5838" w:type="dxa"/>
            <w:vAlign w:val="center"/>
          </w:tcPr>
          <w:p w14:paraId="31DBE816">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center"/>
              <w:rPr>
                <w:rFonts w:hint="eastAsia" w:ascii="仿宋_GB2312" w:hAnsi="仿宋_GB2312" w:eastAsia="仿宋_GB2312" w:cs="仿宋_GB2312"/>
                <w:kern w:val="0"/>
                <w:sz w:val="24"/>
                <w:lang w:bidi="ar"/>
              </w:rPr>
            </w:pPr>
            <w:r>
              <w:rPr>
                <w:rFonts w:hint="eastAsia" w:ascii="仿宋_GB2312" w:hAnsi="仿宋_GB2312" w:eastAsia="仿宋_GB2312" w:cs="仿宋_GB2312"/>
                <w:kern w:val="0"/>
                <w:sz w:val="24"/>
                <w:lang w:bidi="ar"/>
              </w:rPr>
              <w:t>全国科学教育实验区</w:t>
            </w:r>
          </w:p>
        </w:tc>
        <w:tc>
          <w:tcPr>
            <w:tcW w:w="1062" w:type="dxa"/>
            <w:vAlign w:val="center"/>
          </w:tcPr>
          <w:p w14:paraId="5C6352EE">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center"/>
              <w:rPr>
                <w:rFonts w:cs="Times New Roman"/>
                <w:kern w:val="0"/>
                <w:sz w:val="24"/>
                <w:lang w:bidi="ar"/>
              </w:rPr>
            </w:pPr>
            <w:r>
              <w:rPr>
                <w:rFonts w:cs="Times New Roman"/>
                <w:kern w:val="0"/>
                <w:sz w:val="24"/>
                <w:lang w:bidi="ar"/>
              </w:rPr>
              <w:t>国家级</w:t>
            </w:r>
          </w:p>
        </w:tc>
      </w:tr>
      <w:tr w14:paraId="1E6F3B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80" w:type="dxa"/>
            <w:vAlign w:val="center"/>
          </w:tcPr>
          <w:p w14:paraId="3E288B5D">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center"/>
              <w:rPr>
                <w:rFonts w:cs="Times New Roman"/>
                <w:kern w:val="0"/>
                <w:sz w:val="24"/>
                <w:lang w:bidi="ar"/>
              </w:rPr>
            </w:pPr>
            <w:r>
              <w:rPr>
                <w:rFonts w:cs="Times New Roman"/>
                <w:kern w:val="0"/>
                <w:sz w:val="24"/>
                <w:lang w:bidi="ar"/>
              </w:rPr>
              <w:t>2024</w:t>
            </w:r>
          </w:p>
        </w:tc>
        <w:tc>
          <w:tcPr>
            <w:tcW w:w="5838" w:type="dxa"/>
            <w:vAlign w:val="center"/>
          </w:tcPr>
          <w:p w14:paraId="34774FF8">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center"/>
              <w:rPr>
                <w:rFonts w:hint="eastAsia" w:ascii="仿宋_GB2312" w:hAnsi="仿宋_GB2312" w:eastAsia="仿宋_GB2312" w:cs="仿宋_GB2312"/>
                <w:kern w:val="0"/>
                <w:sz w:val="24"/>
                <w:lang w:bidi="ar"/>
              </w:rPr>
            </w:pPr>
            <w:r>
              <w:rPr>
                <w:rFonts w:hint="eastAsia" w:ascii="仿宋_GB2312" w:hAnsi="仿宋_GB2312" w:eastAsia="仿宋_GB2312" w:cs="仿宋_GB2312"/>
                <w:kern w:val="0"/>
                <w:sz w:val="24"/>
                <w:lang w:bidi="ar"/>
              </w:rPr>
              <w:t>全国医养结合示范县（市、区）建设单位</w:t>
            </w:r>
          </w:p>
        </w:tc>
        <w:tc>
          <w:tcPr>
            <w:tcW w:w="1062" w:type="dxa"/>
            <w:vAlign w:val="center"/>
          </w:tcPr>
          <w:p w14:paraId="6043A71F">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center"/>
              <w:rPr>
                <w:rFonts w:cs="Times New Roman"/>
                <w:kern w:val="0"/>
                <w:sz w:val="24"/>
                <w:lang w:bidi="ar"/>
              </w:rPr>
            </w:pPr>
            <w:r>
              <w:rPr>
                <w:rFonts w:cs="Times New Roman"/>
                <w:kern w:val="0"/>
                <w:sz w:val="24"/>
                <w:lang w:bidi="ar"/>
              </w:rPr>
              <w:t>国家级</w:t>
            </w:r>
          </w:p>
        </w:tc>
      </w:tr>
      <w:tr w14:paraId="0F8CAF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80" w:type="dxa"/>
            <w:vAlign w:val="center"/>
          </w:tcPr>
          <w:p w14:paraId="2C555A99">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center"/>
              <w:rPr>
                <w:rFonts w:cs="Times New Roman"/>
                <w:kern w:val="0"/>
                <w:sz w:val="24"/>
                <w:lang w:bidi="ar"/>
              </w:rPr>
            </w:pPr>
            <w:r>
              <w:rPr>
                <w:rFonts w:cs="Times New Roman"/>
                <w:kern w:val="0"/>
                <w:sz w:val="24"/>
                <w:lang w:bidi="ar"/>
              </w:rPr>
              <w:t>2024</w:t>
            </w:r>
          </w:p>
        </w:tc>
        <w:tc>
          <w:tcPr>
            <w:tcW w:w="5838" w:type="dxa"/>
            <w:vAlign w:val="center"/>
          </w:tcPr>
          <w:p w14:paraId="61816B7C">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center"/>
              <w:rPr>
                <w:rFonts w:hint="eastAsia" w:ascii="仿宋_GB2312" w:hAnsi="仿宋_GB2312" w:eastAsia="仿宋_GB2312" w:cs="仿宋_GB2312"/>
                <w:kern w:val="0"/>
                <w:sz w:val="24"/>
                <w:lang w:bidi="ar"/>
              </w:rPr>
            </w:pPr>
            <w:r>
              <w:rPr>
                <w:rFonts w:hint="eastAsia" w:ascii="仿宋_GB2312" w:hAnsi="仿宋_GB2312" w:eastAsia="仿宋_GB2312" w:cs="仿宋_GB2312"/>
                <w:kern w:val="0"/>
                <w:sz w:val="24"/>
                <w:lang w:bidi="ar"/>
              </w:rPr>
              <w:t>城乡交通运输一体化示范县</w:t>
            </w:r>
          </w:p>
        </w:tc>
        <w:tc>
          <w:tcPr>
            <w:tcW w:w="1062" w:type="dxa"/>
            <w:vAlign w:val="center"/>
          </w:tcPr>
          <w:p w14:paraId="3D054DF6">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center"/>
              <w:rPr>
                <w:rFonts w:cs="Times New Roman"/>
                <w:kern w:val="0"/>
                <w:sz w:val="24"/>
                <w:lang w:bidi="ar"/>
              </w:rPr>
            </w:pPr>
            <w:r>
              <w:rPr>
                <w:rFonts w:cs="Times New Roman"/>
                <w:kern w:val="0"/>
                <w:sz w:val="24"/>
                <w:lang w:bidi="ar"/>
              </w:rPr>
              <w:t>国家级</w:t>
            </w:r>
          </w:p>
        </w:tc>
      </w:tr>
      <w:tr w14:paraId="1C2807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80" w:type="dxa"/>
            <w:vAlign w:val="center"/>
          </w:tcPr>
          <w:p w14:paraId="2322B4FF">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center"/>
              <w:rPr>
                <w:rFonts w:cs="Times New Roman"/>
                <w:sz w:val="24"/>
                <w:lang w:bidi="ar"/>
              </w:rPr>
            </w:pPr>
            <w:r>
              <w:rPr>
                <w:rFonts w:cs="Times New Roman"/>
                <w:kern w:val="0"/>
                <w:sz w:val="24"/>
                <w:lang w:bidi="ar"/>
              </w:rPr>
              <w:t>2023</w:t>
            </w:r>
          </w:p>
        </w:tc>
        <w:tc>
          <w:tcPr>
            <w:tcW w:w="5838" w:type="dxa"/>
            <w:vAlign w:val="center"/>
          </w:tcPr>
          <w:p w14:paraId="0586693E">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center"/>
              <w:rPr>
                <w:rFonts w:hint="eastAsia" w:ascii="仿宋_GB2312" w:hAnsi="仿宋_GB2312" w:eastAsia="仿宋_GB2312" w:cs="仿宋_GB2312"/>
                <w:sz w:val="24"/>
                <w:lang w:bidi="ar"/>
              </w:rPr>
            </w:pPr>
            <w:r>
              <w:rPr>
                <w:rFonts w:hint="eastAsia" w:ascii="仿宋_GB2312" w:hAnsi="仿宋_GB2312" w:eastAsia="仿宋_GB2312" w:cs="仿宋_GB2312"/>
                <w:kern w:val="0"/>
                <w:sz w:val="24"/>
                <w:lang w:bidi="ar"/>
              </w:rPr>
              <w:t>全国农村综合改革试点试验区</w:t>
            </w:r>
          </w:p>
        </w:tc>
        <w:tc>
          <w:tcPr>
            <w:tcW w:w="1062" w:type="dxa"/>
            <w:vAlign w:val="center"/>
          </w:tcPr>
          <w:p w14:paraId="10801165">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center"/>
              <w:rPr>
                <w:rFonts w:cs="Times New Roman"/>
                <w:kern w:val="0"/>
                <w:sz w:val="24"/>
                <w:lang w:bidi="ar"/>
              </w:rPr>
            </w:pPr>
            <w:r>
              <w:rPr>
                <w:rFonts w:cs="Times New Roman"/>
                <w:kern w:val="0"/>
                <w:sz w:val="24"/>
                <w:lang w:bidi="ar"/>
              </w:rPr>
              <w:t>国家级</w:t>
            </w:r>
          </w:p>
        </w:tc>
      </w:tr>
      <w:tr w14:paraId="11D0F0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80" w:type="dxa"/>
            <w:vAlign w:val="center"/>
          </w:tcPr>
          <w:p w14:paraId="46A3D391">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center"/>
              <w:rPr>
                <w:rFonts w:cs="Times New Roman"/>
                <w:sz w:val="24"/>
                <w:lang w:bidi="ar"/>
              </w:rPr>
            </w:pPr>
            <w:r>
              <w:rPr>
                <w:rFonts w:cs="Times New Roman"/>
                <w:kern w:val="0"/>
                <w:sz w:val="24"/>
                <w:lang w:bidi="ar"/>
              </w:rPr>
              <w:t>2023</w:t>
            </w:r>
          </w:p>
        </w:tc>
        <w:tc>
          <w:tcPr>
            <w:tcW w:w="5838" w:type="dxa"/>
            <w:vAlign w:val="center"/>
          </w:tcPr>
          <w:p w14:paraId="15F84AF4">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center"/>
              <w:rPr>
                <w:rFonts w:hint="eastAsia" w:ascii="仿宋_GB2312" w:hAnsi="仿宋_GB2312" w:eastAsia="仿宋_GB2312" w:cs="仿宋_GB2312"/>
                <w:sz w:val="24"/>
                <w:lang w:bidi="ar"/>
              </w:rPr>
            </w:pPr>
            <w:r>
              <w:rPr>
                <w:rFonts w:hint="eastAsia" w:ascii="仿宋_GB2312" w:hAnsi="仿宋_GB2312" w:eastAsia="仿宋_GB2312" w:cs="仿宋_GB2312"/>
                <w:kern w:val="0"/>
                <w:sz w:val="24"/>
                <w:lang w:bidi="ar"/>
              </w:rPr>
              <w:t>国家农业绿色发展先行区创建县</w:t>
            </w:r>
          </w:p>
        </w:tc>
        <w:tc>
          <w:tcPr>
            <w:tcW w:w="1062" w:type="dxa"/>
            <w:vAlign w:val="center"/>
          </w:tcPr>
          <w:p w14:paraId="71602DFB">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center"/>
              <w:rPr>
                <w:rFonts w:cs="Times New Roman"/>
                <w:kern w:val="0"/>
                <w:sz w:val="24"/>
                <w:lang w:bidi="ar"/>
              </w:rPr>
            </w:pPr>
            <w:r>
              <w:rPr>
                <w:rFonts w:cs="Times New Roman"/>
                <w:kern w:val="0"/>
                <w:sz w:val="24"/>
                <w:lang w:bidi="ar"/>
              </w:rPr>
              <w:t>国家级</w:t>
            </w:r>
          </w:p>
        </w:tc>
      </w:tr>
      <w:tr w14:paraId="2AFF08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80" w:type="dxa"/>
            <w:vAlign w:val="center"/>
          </w:tcPr>
          <w:p w14:paraId="17BA0F07">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center"/>
              <w:rPr>
                <w:rFonts w:cs="Times New Roman"/>
                <w:sz w:val="24"/>
                <w:lang w:bidi="ar"/>
              </w:rPr>
            </w:pPr>
            <w:r>
              <w:rPr>
                <w:rFonts w:cs="Times New Roman"/>
                <w:kern w:val="0"/>
                <w:sz w:val="24"/>
                <w:lang w:bidi="ar"/>
              </w:rPr>
              <w:t>2023</w:t>
            </w:r>
          </w:p>
        </w:tc>
        <w:tc>
          <w:tcPr>
            <w:tcW w:w="5838" w:type="dxa"/>
            <w:vAlign w:val="center"/>
          </w:tcPr>
          <w:p w14:paraId="57DF2F59">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center"/>
              <w:rPr>
                <w:rFonts w:hint="eastAsia" w:ascii="仿宋_GB2312" w:hAnsi="仿宋_GB2312" w:eastAsia="仿宋_GB2312" w:cs="仿宋_GB2312"/>
                <w:sz w:val="24"/>
                <w:lang w:bidi="ar"/>
              </w:rPr>
            </w:pPr>
            <w:r>
              <w:rPr>
                <w:rFonts w:hint="eastAsia" w:ascii="仿宋_GB2312" w:hAnsi="仿宋_GB2312" w:eastAsia="仿宋_GB2312" w:cs="仿宋_GB2312"/>
                <w:kern w:val="0"/>
                <w:sz w:val="24"/>
                <w:lang w:bidi="ar"/>
              </w:rPr>
              <w:t>全国休闲农业重点县</w:t>
            </w:r>
          </w:p>
        </w:tc>
        <w:tc>
          <w:tcPr>
            <w:tcW w:w="1062" w:type="dxa"/>
            <w:vAlign w:val="center"/>
          </w:tcPr>
          <w:p w14:paraId="28283ED4">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center"/>
              <w:rPr>
                <w:rFonts w:cs="Times New Roman"/>
                <w:kern w:val="0"/>
                <w:sz w:val="24"/>
                <w:lang w:bidi="ar"/>
              </w:rPr>
            </w:pPr>
            <w:r>
              <w:rPr>
                <w:rFonts w:cs="Times New Roman"/>
                <w:kern w:val="0"/>
                <w:sz w:val="24"/>
                <w:lang w:bidi="ar"/>
              </w:rPr>
              <w:t>国家级</w:t>
            </w:r>
          </w:p>
        </w:tc>
      </w:tr>
      <w:tr w14:paraId="08B34C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80" w:type="dxa"/>
            <w:vAlign w:val="center"/>
          </w:tcPr>
          <w:p w14:paraId="14E8C8C4">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center"/>
              <w:rPr>
                <w:rFonts w:cs="Times New Roman"/>
                <w:kern w:val="0"/>
                <w:sz w:val="24"/>
                <w:lang w:bidi="ar"/>
              </w:rPr>
            </w:pPr>
            <w:r>
              <w:rPr>
                <w:rFonts w:cs="Times New Roman"/>
                <w:kern w:val="0"/>
                <w:sz w:val="24"/>
                <w:lang w:bidi="ar"/>
              </w:rPr>
              <w:t>2023</w:t>
            </w:r>
          </w:p>
        </w:tc>
        <w:tc>
          <w:tcPr>
            <w:tcW w:w="5838" w:type="dxa"/>
            <w:vAlign w:val="center"/>
          </w:tcPr>
          <w:p w14:paraId="416ABFB3">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center"/>
              <w:rPr>
                <w:rFonts w:hint="eastAsia" w:ascii="仿宋_GB2312" w:hAnsi="仿宋_GB2312" w:eastAsia="仿宋_GB2312" w:cs="仿宋_GB2312"/>
                <w:kern w:val="0"/>
                <w:sz w:val="24"/>
                <w:lang w:bidi="ar"/>
              </w:rPr>
            </w:pPr>
            <w:r>
              <w:rPr>
                <w:rFonts w:hint="eastAsia" w:ascii="仿宋_GB2312" w:hAnsi="仿宋_GB2312" w:eastAsia="仿宋_GB2312" w:cs="仿宋_GB2312"/>
                <w:kern w:val="0"/>
                <w:sz w:val="24"/>
                <w:lang w:bidi="ar"/>
              </w:rPr>
              <w:t>全国县域自然灾害综合风险普查成果应用试点单位</w:t>
            </w:r>
          </w:p>
        </w:tc>
        <w:tc>
          <w:tcPr>
            <w:tcW w:w="1062" w:type="dxa"/>
            <w:vAlign w:val="center"/>
          </w:tcPr>
          <w:p w14:paraId="37490E38">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center"/>
              <w:rPr>
                <w:rFonts w:cs="Times New Roman"/>
                <w:kern w:val="0"/>
                <w:sz w:val="24"/>
                <w:lang w:bidi="ar"/>
              </w:rPr>
            </w:pPr>
            <w:r>
              <w:rPr>
                <w:rFonts w:cs="Times New Roman"/>
                <w:kern w:val="0"/>
                <w:sz w:val="24"/>
                <w:lang w:bidi="ar"/>
              </w:rPr>
              <w:t>国家级</w:t>
            </w:r>
          </w:p>
        </w:tc>
      </w:tr>
      <w:tr w14:paraId="21C0ED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80" w:type="dxa"/>
            <w:vAlign w:val="center"/>
          </w:tcPr>
          <w:p w14:paraId="617DCE95">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center"/>
              <w:rPr>
                <w:rFonts w:cs="Times New Roman"/>
                <w:kern w:val="0"/>
                <w:sz w:val="24"/>
                <w:lang w:bidi="ar"/>
              </w:rPr>
            </w:pPr>
            <w:r>
              <w:rPr>
                <w:rFonts w:cs="Times New Roman"/>
                <w:kern w:val="0"/>
                <w:sz w:val="24"/>
                <w:lang w:bidi="ar"/>
              </w:rPr>
              <w:t>2023</w:t>
            </w:r>
          </w:p>
        </w:tc>
        <w:tc>
          <w:tcPr>
            <w:tcW w:w="5838" w:type="dxa"/>
            <w:vAlign w:val="center"/>
          </w:tcPr>
          <w:p w14:paraId="326B167A">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center"/>
              <w:rPr>
                <w:rFonts w:hint="eastAsia" w:ascii="仿宋_GB2312" w:hAnsi="仿宋_GB2312" w:eastAsia="仿宋_GB2312" w:cs="仿宋_GB2312"/>
                <w:kern w:val="0"/>
                <w:sz w:val="24"/>
                <w:lang w:bidi="ar"/>
              </w:rPr>
            </w:pPr>
            <w:r>
              <w:rPr>
                <w:rFonts w:hint="eastAsia" w:ascii="仿宋_GB2312" w:hAnsi="仿宋_GB2312" w:eastAsia="仿宋_GB2312" w:cs="仿宋_GB2312"/>
                <w:kern w:val="0"/>
                <w:sz w:val="24"/>
                <w:lang w:bidi="ar"/>
              </w:rPr>
              <w:t>全国首批县域商业体系建设“领跑县”</w:t>
            </w:r>
          </w:p>
        </w:tc>
        <w:tc>
          <w:tcPr>
            <w:tcW w:w="1062" w:type="dxa"/>
            <w:vAlign w:val="center"/>
          </w:tcPr>
          <w:p w14:paraId="514A12D2">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center"/>
              <w:rPr>
                <w:rFonts w:cs="Times New Roman"/>
                <w:kern w:val="0"/>
                <w:sz w:val="24"/>
                <w:lang w:bidi="ar"/>
              </w:rPr>
            </w:pPr>
            <w:r>
              <w:rPr>
                <w:rFonts w:cs="Times New Roman"/>
                <w:kern w:val="0"/>
                <w:sz w:val="24"/>
                <w:lang w:bidi="ar"/>
              </w:rPr>
              <w:t>国家级</w:t>
            </w:r>
          </w:p>
        </w:tc>
      </w:tr>
      <w:tr w14:paraId="7C5D5D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80" w:type="dxa"/>
            <w:vAlign w:val="center"/>
          </w:tcPr>
          <w:p w14:paraId="01677188">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center"/>
              <w:rPr>
                <w:rFonts w:cs="Times New Roman"/>
                <w:kern w:val="0"/>
                <w:sz w:val="24"/>
                <w:lang w:bidi="ar"/>
              </w:rPr>
            </w:pPr>
            <w:r>
              <w:rPr>
                <w:rFonts w:cs="Times New Roman"/>
                <w:kern w:val="0"/>
                <w:sz w:val="24"/>
                <w:lang w:bidi="ar"/>
              </w:rPr>
              <w:t>2023</w:t>
            </w:r>
          </w:p>
        </w:tc>
        <w:tc>
          <w:tcPr>
            <w:tcW w:w="5838" w:type="dxa"/>
            <w:vAlign w:val="center"/>
          </w:tcPr>
          <w:p w14:paraId="787B204E">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center"/>
              <w:rPr>
                <w:rFonts w:hint="eastAsia" w:ascii="仿宋_GB2312" w:hAnsi="仿宋_GB2312" w:eastAsia="仿宋_GB2312" w:cs="仿宋_GB2312"/>
                <w:kern w:val="0"/>
                <w:sz w:val="24"/>
                <w:lang w:bidi="ar"/>
              </w:rPr>
            </w:pPr>
            <w:r>
              <w:rPr>
                <w:rFonts w:hint="eastAsia" w:ascii="仿宋_GB2312" w:hAnsi="仿宋_GB2312" w:eastAsia="仿宋_GB2312" w:cs="仿宋_GB2312"/>
                <w:kern w:val="0"/>
                <w:sz w:val="24"/>
                <w:lang w:bidi="ar"/>
              </w:rPr>
              <w:t>全国首批文化产业赋能乡村振兴试点</w:t>
            </w:r>
          </w:p>
        </w:tc>
        <w:tc>
          <w:tcPr>
            <w:tcW w:w="1062" w:type="dxa"/>
            <w:vAlign w:val="center"/>
          </w:tcPr>
          <w:p w14:paraId="26934F7E">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center"/>
              <w:rPr>
                <w:rFonts w:cs="Times New Roman"/>
                <w:kern w:val="0"/>
                <w:sz w:val="24"/>
                <w:lang w:bidi="ar"/>
              </w:rPr>
            </w:pPr>
            <w:r>
              <w:rPr>
                <w:rFonts w:cs="Times New Roman"/>
                <w:kern w:val="0"/>
                <w:sz w:val="24"/>
                <w:lang w:bidi="ar"/>
              </w:rPr>
              <w:t>国家级</w:t>
            </w:r>
          </w:p>
        </w:tc>
      </w:tr>
      <w:tr w14:paraId="75066E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80" w:type="dxa"/>
            <w:vAlign w:val="center"/>
          </w:tcPr>
          <w:p w14:paraId="24CE6CB6">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center"/>
              <w:rPr>
                <w:rFonts w:cs="Times New Roman"/>
                <w:kern w:val="0"/>
                <w:sz w:val="24"/>
                <w:lang w:bidi="ar"/>
              </w:rPr>
            </w:pPr>
            <w:r>
              <w:rPr>
                <w:rFonts w:cs="Times New Roman"/>
                <w:kern w:val="0"/>
                <w:sz w:val="24"/>
                <w:lang w:bidi="ar"/>
              </w:rPr>
              <w:t>2023</w:t>
            </w:r>
          </w:p>
        </w:tc>
        <w:tc>
          <w:tcPr>
            <w:tcW w:w="5838" w:type="dxa"/>
            <w:vAlign w:val="center"/>
          </w:tcPr>
          <w:p w14:paraId="1E2D58A9">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center"/>
              <w:rPr>
                <w:rFonts w:hint="eastAsia" w:ascii="仿宋_GB2312" w:hAnsi="仿宋_GB2312" w:eastAsia="仿宋_GB2312" w:cs="仿宋_GB2312"/>
                <w:kern w:val="0"/>
                <w:sz w:val="24"/>
                <w:lang w:bidi="ar"/>
              </w:rPr>
            </w:pPr>
            <w:r>
              <w:rPr>
                <w:rFonts w:hint="eastAsia" w:ascii="仿宋_GB2312" w:hAnsi="仿宋_GB2312" w:eastAsia="仿宋_GB2312" w:cs="仿宋_GB2312"/>
                <w:kern w:val="0"/>
                <w:sz w:val="24"/>
                <w:lang w:bidi="ar"/>
              </w:rPr>
              <w:t>国家水土保持示范县</w:t>
            </w:r>
          </w:p>
        </w:tc>
        <w:tc>
          <w:tcPr>
            <w:tcW w:w="1062" w:type="dxa"/>
            <w:vAlign w:val="center"/>
          </w:tcPr>
          <w:p w14:paraId="4CAF1D5E">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center"/>
              <w:rPr>
                <w:rFonts w:cs="Times New Roman"/>
                <w:kern w:val="0"/>
                <w:sz w:val="24"/>
                <w:lang w:bidi="ar"/>
              </w:rPr>
            </w:pPr>
            <w:r>
              <w:rPr>
                <w:rFonts w:cs="Times New Roman"/>
                <w:kern w:val="0"/>
                <w:sz w:val="24"/>
                <w:lang w:bidi="ar"/>
              </w:rPr>
              <w:t>国家级</w:t>
            </w:r>
          </w:p>
        </w:tc>
      </w:tr>
      <w:tr w14:paraId="53B00C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80" w:type="dxa"/>
            <w:vAlign w:val="center"/>
          </w:tcPr>
          <w:p w14:paraId="12B8A677">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center"/>
              <w:rPr>
                <w:rFonts w:cs="Times New Roman"/>
                <w:sz w:val="24"/>
                <w:lang w:bidi="ar"/>
              </w:rPr>
            </w:pPr>
            <w:r>
              <w:rPr>
                <w:rFonts w:cs="Times New Roman"/>
                <w:kern w:val="0"/>
                <w:sz w:val="24"/>
                <w:lang w:bidi="ar"/>
              </w:rPr>
              <w:t>2022</w:t>
            </w:r>
          </w:p>
        </w:tc>
        <w:tc>
          <w:tcPr>
            <w:tcW w:w="5838" w:type="dxa"/>
            <w:vAlign w:val="center"/>
          </w:tcPr>
          <w:p w14:paraId="50D6F07B">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center"/>
              <w:rPr>
                <w:rFonts w:hint="eastAsia" w:ascii="仿宋_GB2312" w:hAnsi="仿宋_GB2312" w:eastAsia="仿宋_GB2312" w:cs="仿宋_GB2312"/>
                <w:sz w:val="24"/>
                <w:lang w:bidi="ar"/>
              </w:rPr>
            </w:pPr>
            <w:r>
              <w:rPr>
                <w:rFonts w:hint="eastAsia" w:ascii="仿宋_GB2312" w:hAnsi="仿宋_GB2312" w:eastAsia="仿宋_GB2312" w:cs="仿宋_GB2312"/>
                <w:kern w:val="0"/>
                <w:sz w:val="24"/>
                <w:lang w:bidi="ar"/>
              </w:rPr>
              <w:t>全国病死猪无害化处理与保险联动机制建设试点县</w:t>
            </w:r>
          </w:p>
        </w:tc>
        <w:tc>
          <w:tcPr>
            <w:tcW w:w="1062" w:type="dxa"/>
            <w:vAlign w:val="center"/>
          </w:tcPr>
          <w:p w14:paraId="60D482F0">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center"/>
              <w:rPr>
                <w:rFonts w:cs="Times New Roman"/>
                <w:kern w:val="0"/>
                <w:sz w:val="24"/>
                <w:lang w:bidi="ar"/>
              </w:rPr>
            </w:pPr>
            <w:r>
              <w:rPr>
                <w:rFonts w:cs="Times New Roman"/>
                <w:kern w:val="0"/>
                <w:sz w:val="24"/>
                <w:lang w:bidi="ar"/>
              </w:rPr>
              <w:t>国家级</w:t>
            </w:r>
          </w:p>
        </w:tc>
      </w:tr>
      <w:tr w14:paraId="4B2C45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80" w:type="dxa"/>
            <w:vAlign w:val="center"/>
          </w:tcPr>
          <w:p w14:paraId="23D79AE4">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center"/>
              <w:rPr>
                <w:rFonts w:cs="Times New Roman"/>
                <w:kern w:val="0"/>
                <w:sz w:val="24"/>
                <w:lang w:bidi="ar"/>
              </w:rPr>
            </w:pPr>
            <w:r>
              <w:rPr>
                <w:rFonts w:cs="Times New Roman"/>
                <w:kern w:val="0"/>
                <w:sz w:val="24"/>
                <w:lang w:bidi="ar"/>
              </w:rPr>
              <w:t>2022</w:t>
            </w:r>
          </w:p>
        </w:tc>
        <w:tc>
          <w:tcPr>
            <w:tcW w:w="5838" w:type="dxa"/>
            <w:vAlign w:val="center"/>
          </w:tcPr>
          <w:p w14:paraId="215DD267">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center"/>
              <w:rPr>
                <w:rFonts w:hint="eastAsia" w:ascii="仿宋_GB2312" w:hAnsi="仿宋_GB2312" w:eastAsia="仿宋_GB2312" w:cs="仿宋_GB2312"/>
                <w:kern w:val="0"/>
                <w:sz w:val="24"/>
                <w:lang w:bidi="ar"/>
              </w:rPr>
            </w:pPr>
            <w:r>
              <w:rPr>
                <w:rFonts w:hint="eastAsia" w:ascii="仿宋_GB2312" w:hAnsi="仿宋_GB2312" w:eastAsia="仿宋_GB2312" w:cs="仿宋_GB2312"/>
                <w:kern w:val="0"/>
                <w:sz w:val="24"/>
                <w:lang w:bidi="ar"/>
              </w:rPr>
              <w:t>省市县乡四级行政执法协调监督工作体系建设试点</w:t>
            </w:r>
          </w:p>
        </w:tc>
        <w:tc>
          <w:tcPr>
            <w:tcW w:w="1062" w:type="dxa"/>
            <w:vAlign w:val="center"/>
          </w:tcPr>
          <w:p w14:paraId="275D8E63">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center"/>
              <w:rPr>
                <w:rFonts w:cs="Times New Roman"/>
                <w:kern w:val="0"/>
                <w:sz w:val="24"/>
                <w:lang w:bidi="ar"/>
              </w:rPr>
            </w:pPr>
            <w:r>
              <w:rPr>
                <w:rFonts w:cs="Times New Roman"/>
                <w:kern w:val="0"/>
                <w:sz w:val="24"/>
                <w:lang w:bidi="ar"/>
              </w:rPr>
              <w:t>国家级</w:t>
            </w:r>
          </w:p>
        </w:tc>
      </w:tr>
      <w:tr w14:paraId="7E09A4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80" w:type="dxa"/>
            <w:vAlign w:val="center"/>
          </w:tcPr>
          <w:p w14:paraId="7C6202CC">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center"/>
              <w:rPr>
                <w:rFonts w:cs="Times New Roman"/>
                <w:sz w:val="24"/>
              </w:rPr>
            </w:pPr>
            <w:r>
              <w:rPr>
                <w:rFonts w:cs="Times New Roman"/>
                <w:kern w:val="0"/>
                <w:sz w:val="24"/>
                <w:lang w:bidi="ar"/>
              </w:rPr>
              <w:t>2021</w:t>
            </w:r>
          </w:p>
        </w:tc>
        <w:tc>
          <w:tcPr>
            <w:tcW w:w="5838" w:type="dxa"/>
            <w:vAlign w:val="center"/>
          </w:tcPr>
          <w:p w14:paraId="57124EB5">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center"/>
              <w:rPr>
                <w:rFonts w:hint="eastAsia" w:ascii="仿宋_GB2312" w:hAnsi="仿宋_GB2312" w:eastAsia="仿宋_GB2312" w:cs="仿宋_GB2312"/>
                <w:kern w:val="0"/>
                <w:sz w:val="24"/>
                <w:lang w:bidi="ar"/>
              </w:rPr>
            </w:pPr>
            <w:r>
              <w:rPr>
                <w:rFonts w:hint="eastAsia" w:ascii="仿宋_GB2312" w:hAnsi="仿宋_GB2312" w:eastAsia="仿宋_GB2312" w:cs="仿宋_GB2312"/>
                <w:kern w:val="0"/>
                <w:sz w:val="24"/>
                <w:lang w:bidi="ar"/>
              </w:rPr>
              <w:t>全国农业生产社会化服务创新试点县</w:t>
            </w:r>
          </w:p>
        </w:tc>
        <w:tc>
          <w:tcPr>
            <w:tcW w:w="1062" w:type="dxa"/>
            <w:vAlign w:val="center"/>
          </w:tcPr>
          <w:p w14:paraId="746266AB">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center"/>
              <w:rPr>
                <w:rFonts w:cs="Times New Roman"/>
                <w:kern w:val="0"/>
                <w:sz w:val="24"/>
                <w:lang w:bidi="ar"/>
              </w:rPr>
            </w:pPr>
            <w:r>
              <w:rPr>
                <w:rFonts w:cs="Times New Roman"/>
                <w:kern w:val="0"/>
                <w:sz w:val="24"/>
                <w:lang w:bidi="ar"/>
              </w:rPr>
              <w:t>国家级</w:t>
            </w:r>
          </w:p>
        </w:tc>
      </w:tr>
      <w:tr w14:paraId="100ACE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80" w:type="dxa"/>
            <w:vAlign w:val="center"/>
          </w:tcPr>
          <w:p w14:paraId="52E7A9B1">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center"/>
              <w:rPr>
                <w:rFonts w:cs="Times New Roman"/>
                <w:sz w:val="24"/>
              </w:rPr>
            </w:pPr>
            <w:r>
              <w:rPr>
                <w:rFonts w:cs="Times New Roman"/>
                <w:kern w:val="0"/>
                <w:sz w:val="24"/>
                <w:lang w:bidi="ar"/>
              </w:rPr>
              <w:t>2021</w:t>
            </w:r>
          </w:p>
        </w:tc>
        <w:tc>
          <w:tcPr>
            <w:tcW w:w="5838" w:type="dxa"/>
            <w:vAlign w:val="center"/>
          </w:tcPr>
          <w:p w14:paraId="1C65C7D7">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center"/>
              <w:rPr>
                <w:rFonts w:hint="eastAsia" w:ascii="仿宋_GB2312" w:hAnsi="仿宋_GB2312" w:eastAsia="仿宋_GB2312" w:cs="仿宋_GB2312"/>
                <w:kern w:val="0"/>
                <w:sz w:val="24"/>
                <w:lang w:bidi="ar"/>
              </w:rPr>
            </w:pPr>
            <w:r>
              <w:rPr>
                <w:rFonts w:hint="eastAsia" w:ascii="仿宋_GB2312" w:hAnsi="仿宋_GB2312" w:eastAsia="仿宋_GB2312" w:cs="仿宋_GB2312"/>
                <w:kern w:val="0"/>
                <w:sz w:val="24"/>
                <w:lang w:bidi="ar"/>
              </w:rPr>
              <w:t>全国农民专业合作社质量提升整县推进试点</w:t>
            </w:r>
          </w:p>
        </w:tc>
        <w:tc>
          <w:tcPr>
            <w:tcW w:w="1062" w:type="dxa"/>
            <w:vAlign w:val="center"/>
          </w:tcPr>
          <w:p w14:paraId="07B04319">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center"/>
              <w:rPr>
                <w:rFonts w:cs="Times New Roman"/>
                <w:kern w:val="0"/>
                <w:sz w:val="24"/>
                <w:lang w:bidi="ar"/>
              </w:rPr>
            </w:pPr>
            <w:r>
              <w:rPr>
                <w:rFonts w:cs="Times New Roman"/>
                <w:kern w:val="0"/>
                <w:sz w:val="24"/>
                <w:lang w:bidi="ar"/>
              </w:rPr>
              <w:t>国家级</w:t>
            </w:r>
          </w:p>
        </w:tc>
      </w:tr>
      <w:tr w14:paraId="0C8F8E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80" w:type="dxa"/>
            <w:vAlign w:val="center"/>
          </w:tcPr>
          <w:p w14:paraId="09957C9B">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center"/>
              <w:rPr>
                <w:rFonts w:cs="Times New Roman"/>
                <w:sz w:val="24"/>
              </w:rPr>
            </w:pPr>
            <w:r>
              <w:rPr>
                <w:rFonts w:cs="Times New Roman"/>
                <w:kern w:val="0"/>
                <w:sz w:val="24"/>
                <w:lang w:bidi="ar"/>
              </w:rPr>
              <w:t>2021</w:t>
            </w:r>
          </w:p>
        </w:tc>
        <w:tc>
          <w:tcPr>
            <w:tcW w:w="5838" w:type="dxa"/>
            <w:vAlign w:val="center"/>
          </w:tcPr>
          <w:p w14:paraId="46DA065F">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center"/>
              <w:rPr>
                <w:rFonts w:hint="eastAsia" w:ascii="仿宋_GB2312" w:hAnsi="仿宋_GB2312" w:eastAsia="仿宋_GB2312" w:cs="仿宋_GB2312"/>
                <w:kern w:val="0"/>
                <w:sz w:val="24"/>
                <w:lang w:bidi="ar"/>
              </w:rPr>
            </w:pPr>
            <w:r>
              <w:rPr>
                <w:rFonts w:hint="eastAsia" w:ascii="仿宋_GB2312" w:hAnsi="仿宋_GB2312" w:eastAsia="仿宋_GB2312" w:cs="仿宋_GB2312"/>
                <w:kern w:val="0"/>
                <w:sz w:val="24"/>
                <w:lang w:bidi="ar"/>
              </w:rPr>
              <w:t>全国农产品产地冷藏保鲜整县推进试点</w:t>
            </w:r>
          </w:p>
        </w:tc>
        <w:tc>
          <w:tcPr>
            <w:tcW w:w="1062" w:type="dxa"/>
            <w:vAlign w:val="center"/>
          </w:tcPr>
          <w:p w14:paraId="35334FF7">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center"/>
              <w:rPr>
                <w:rFonts w:cs="Times New Roman"/>
                <w:kern w:val="0"/>
                <w:sz w:val="24"/>
                <w:lang w:bidi="ar"/>
              </w:rPr>
            </w:pPr>
            <w:r>
              <w:rPr>
                <w:rFonts w:cs="Times New Roman"/>
                <w:kern w:val="0"/>
                <w:sz w:val="24"/>
                <w:lang w:bidi="ar"/>
              </w:rPr>
              <w:t>国家级</w:t>
            </w:r>
          </w:p>
        </w:tc>
      </w:tr>
      <w:tr w14:paraId="691DB6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80" w:type="dxa"/>
            <w:vAlign w:val="center"/>
          </w:tcPr>
          <w:p w14:paraId="7A53C696">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center"/>
              <w:rPr>
                <w:rFonts w:cs="Times New Roman"/>
                <w:sz w:val="24"/>
              </w:rPr>
            </w:pPr>
            <w:r>
              <w:rPr>
                <w:rFonts w:cs="Times New Roman"/>
                <w:kern w:val="0"/>
                <w:sz w:val="24"/>
                <w:lang w:bidi="ar"/>
              </w:rPr>
              <w:t>2021</w:t>
            </w:r>
          </w:p>
        </w:tc>
        <w:tc>
          <w:tcPr>
            <w:tcW w:w="5838" w:type="dxa"/>
            <w:vAlign w:val="center"/>
          </w:tcPr>
          <w:p w14:paraId="7AF670C9">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center"/>
              <w:rPr>
                <w:rFonts w:hint="eastAsia" w:ascii="仿宋_GB2312" w:hAnsi="仿宋_GB2312" w:eastAsia="仿宋_GB2312" w:cs="仿宋_GB2312"/>
                <w:kern w:val="0"/>
                <w:sz w:val="24"/>
                <w:lang w:bidi="ar"/>
              </w:rPr>
            </w:pPr>
            <w:r>
              <w:rPr>
                <w:rFonts w:hint="eastAsia" w:ascii="仿宋_GB2312" w:hAnsi="仿宋_GB2312" w:eastAsia="仿宋_GB2312" w:cs="仿宋_GB2312"/>
                <w:kern w:val="0"/>
                <w:sz w:val="24"/>
                <w:lang w:bidi="ar"/>
              </w:rPr>
              <w:t>全国村庄清洁行动先进县</w:t>
            </w:r>
          </w:p>
        </w:tc>
        <w:tc>
          <w:tcPr>
            <w:tcW w:w="1062" w:type="dxa"/>
            <w:vAlign w:val="center"/>
          </w:tcPr>
          <w:p w14:paraId="5B51B871">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center"/>
              <w:rPr>
                <w:rFonts w:cs="Times New Roman"/>
                <w:kern w:val="0"/>
                <w:sz w:val="24"/>
                <w:lang w:bidi="ar"/>
              </w:rPr>
            </w:pPr>
            <w:r>
              <w:rPr>
                <w:rFonts w:cs="Times New Roman"/>
                <w:kern w:val="0"/>
                <w:sz w:val="24"/>
                <w:lang w:bidi="ar"/>
              </w:rPr>
              <w:t>国家级</w:t>
            </w:r>
          </w:p>
        </w:tc>
      </w:tr>
      <w:tr w14:paraId="5B360C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80" w:type="dxa"/>
            <w:vAlign w:val="center"/>
          </w:tcPr>
          <w:p w14:paraId="33F976BD">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center"/>
              <w:rPr>
                <w:rFonts w:cs="Times New Roman"/>
                <w:kern w:val="0"/>
                <w:sz w:val="24"/>
                <w:lang w:bidi="ar"/>
              </w:rPr>
            </w:pPr>
            <w:r>
              <w:rPr>
                <w:rFonts w:cs="Times New Roman"/>
                <w:kern w:val="0"/>
                <w:sz w:val="24"/>
                <w:lang w:bidi="ar"/>
              </w:rPr>
              <w:t>2021</w:t>
            </w:r>
          </w:p>
        </w:tc>
        <w:tc>
          <w:tcPr>
            <w:tcW w:w="5838" w:type="dxa"/>
            <w:vAlign w:val="center"/>
          </w:tcPr>
          <w:p w14:paraId="044CFBF8">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center"/>
              <w:rPr>
                <w:rFonts w:hint="eastAsia" w:ascii="仿宋_GB2312" w:hAnsi="仿宋_GB2312" w:eastAsia="仿宋_GB2312" w:cs="仿宋_GB2312"/>
                <w:kern w:val="0"/>
                <w:sz w:val="24"/>
                <w:lang w:bidi="ar"/>
              </w:rPr>
            </w:pPr>
            <w:r>
              <w:rPr>
                <w:rFonts w:hint="eastAsia" w:ascii="仿宋_GB2312" w:hAnsi="仿宋_GB2312" w:eastAsia="仿宋_GB2312" w:cs="仿宋_GB2312"/>
                <w:kern w:val="0"/>
                <w:sz w:val="24"/>
                <w:lang w:bidi="ar"/>
              </w:rPr>
              <w:t>全国农作物病虫害绿色防控示范县</w:t>
            </w:r>
          </w:p>
        </w:tc>
        <w:tc>
          <w:tcPr>
            <w:tcW w:w="1062" w:type="dxa"/>
            <w:vAlign w:val="center"/>
          </w:tcPr>
          <w:p w14:paraId="186AFB44">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center"/>
              <w:rPr>
                <w:rFonts w:cs="Times New Roman"/>
                <w:kern w:val="0"/>
                <w:sz w:val="24"/>
                <w:lang w:bidi="ar"/>
              </w:rPr>
            </w:pPr>
            <w:r>
              <w:rPr>
                <w:rFonts w:cs="Times New Roman"/>
                <w:kern w:val="0"/>
                <w:sz w:val="24"/>
                <w:lang w:bidi="ar"/>
              </w:rPr>
              <w:t>国家级</w:t>
            </w:r>
          </w:p>
        </w:tc>
      </w:tr>
      <w:tr w14:paraId="5EA770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80" w:type="dxa"/>
            <w:vAlign w:val="center"/>
          </w:tcPr>
          <w:p w14:paraId="438DA8C3">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center"/>
              <w:rPr>
                <w:rFonts w:cs="Times New Roman"/>
                <w:kern w:val="0"/>
                <w:sz w:val="24"/>
                <w:lang w:bidi="ar"/>
              </w:rPr>
            </w:pPr>
            <w:r>
              <w:rPr>
                <w:rFonts w:cs="Times New Roman"/>
                <w:kern w:val="0"/>
                <w:sz w:val="24"/>
                <w:lang w:bidi="ar"/>
              </w:rPr>
              <w:t>2021</w:t>
            </w:r>
          </w:p>
        </w:tc>
        <w:tc>
          <w:tcPr>
            <w:tcW w:w="5838" w:type="dxa"/>
            <w:vAlign w:val="center"/>
          </w:tcPr>
          <w:p w14:paraId="2C902B9D">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center"/>
              <w:rPr>
                <w:rFonts w:hint="eastAsia" w:ascii="仿宋_GB2312" w:hAnsi="仿宋_GB2312" w:eastAsia="仿宋_GB2312" w:cs="仿宋_GB2312"/>
                <w:kern w:val="0"/>
                <w:sz w:val="24"/>
                <w:lang w:bidi="ar"/>
              </w:rPr>
            </w:pPr>
            <w:r>
              <w:rPr>
                <w:rFonts w:hint="eastAsia" w:ascii="仿宋_GB2312" w:hAnsi="仿宋_GB2312" w:eastAsia="仿宋_GB2312" w:cs="仿宋_GB2312"/>
                <w:kern w:val="0"/>
                <w:sz w:val="24"/>
                <w:lang w:bidi="ar"/>
              </w:rPr>
              <w:t>全国节水型社会建设达标县（区）</w:t>
            </w:r>
          </w:p>
        </w:tc>
        <w:tc>
          <w:tcPr>
            <w:tcW w:w="1062" w:type="dxa"/>
            <w:vAlign w:val="center"/>
          </w:tcPr>
          <w:p w14:paraId="31E5F9A8">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center"/>
              <w:rPr>
                <w:rFonts w:cs="Times New Roman"/>
                <w:kern w:val="0"/>
                <w:sz w:val="24"/>
                <w:lang w:bidi="ar"/>
              </w:rPr>
            </w:pPr>
            <w:r>
              <w:rPr>
                <w:rFonts w:cs="Times New Roman"/>
                <w:kern w:val="0"/>
                <w:sz w:val="24"/>
                <w:lang w:bidi="ar"/>
              </w:rPr>
              <w:t>国家级</w:t>
            </w:r>
          </w:p>
        </w:tc>
      </w:tr>
      <w:tr w14:paraId="484AA6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80" w:type="dxa"/>
            <w:vAlign w:val="center"/>
          </w:tcPr>
          <w:p w14:paraId="589E7ED3">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center"/>
              <w:rPr>
                <w:rFonts w:cs="Times New Roman"/>
                <w:kern w:val="0"/>
                <w:sz w:val="24"/>
                <w:lang w:bidi="ar"/>
              </w:rPr>
            </w:pPr>
            <w:r>
              <w:rPr>
                <w:rFonts w:cs="Times New Roman"/>
                <w:kern w:val="0"/>
                <w:sz w:val="24"/>
                <w:lang w:bidi="ar"/>
              </w:rPr>
              <w:t>2021</w:t>
            </w:r>
          </w:p>
        </w:tc>
        <w:tc>
          <w:tcPr>
            <w:tcW w:w="5838" w:type="dxa"/>
            <w:vAlign w:val="center"/>
          </w:tcPr>
          <w:p w14:paraId="53743A25">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center"/>
              <w:rPr>
                <w:rFonts w:hint="eastAsia" w:ascii="仿宋_GB2312" w:hAnsi="仿宋_GB2312" w:eastAsia="仿宋_GB2312" w:cs="仿宋_GB2312"/>
                <w:kern w:val="0"/>
                <w:sz w:val="24"/>
                <w:lang w:bidi="ar"/>
              </w:rPr>
            </w:pPr>
            <w:r>
              <w:rPr>
                <w:rFonts w:hint="eastAsia" w:ascii="仿宋_GB2312" w:hAnsi="仿宋_GB2312" w:eastAsia="仿宋_GB2312" w:cs="仿宋_GB2312"/>
                <w:kern w:val="0"/>
                <w:sz w:val="24"/>
                <w:lang w:bidi="ar"/>
              </w:rPr>
              <w:t>国务院督查激励推进质量工作成效突出地方</w:t>
            </w:r>
          </w:p>
        </w:tc>
        <w:tc>
          <w:tcPr>
            <w:tcW w:w="1062" w:type="dxa"/>
            <w:vAlign w:val="center"/>
          </w:tcPr>
          <w:p w14:paraId="2CE780F3">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center"/>
              <w:rPr>
                <w:rFonts w:cs="Times New Roman"/>
                <w:kern w:val="0"/>
                <w:sz w:val="24"/>
                <w:lang w:bidi="ar"/>
              </w:rPr>
            </w:pPr>
            <w:r>
              <w:rPr>
                <w:rFonts w:cs="Times New Roman"/>
                <w:kern w:val="0"/>
                <w:sz w:val="24"/>
                <w:lang w:bidi="ar"/>
              </w:rPr>
              <w:t>国家级</w:t>
            </w:r>
          </w:p>
        </w:tc>
      </w:tr>
      <w:tr w14:paraId="41B8D9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80" w:type="dxa"/>
            <w:vAlign w:val="center"/>
          </w:tcPr>
          <w:p w14:paraId="72D4B84C">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center"/>
              <w:rPr>
                <w:rFonts w:eastAsia="方正仿宋_GBK" w:cs="Times New Roman"/>
                <w:kern w:val="0"/>
                <w:sz w:val="24"/>
                <w:lang w:bidi="ar"/>
              </w:rPr>
            </w:pPr>
            <w:r>
              <w:rPr>
                <w:rFonts w:cs="Times New Roman"/>
                <w:kern w:val="0"/>
                <w:sz w:val="24"/>
                <w:lang w:bidi="ar"/>
              </w:rPr>
              <w:t>2025</w:t>
            </w:r>
          </w:p>
        </w:tc>
        <w:tc>
          <w:tcPr>
            <w:tcW w:w="5838" w:type="dxa"/>
            <w:vAlign w:val="center"/>
          </w:tcPr>
          <w:p w14:paraId="65AF3A29">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center"/>
              <w:rPr>
                <w:rFonts w:hint="eastAsia" w:ascii="仿宋_GB2312" w:hAnsi="仿宋_GB2312" w:eastAsia="仿宋_GB2312" w:cs="仿宋_GB2312"/>
                <w:kern w:val="0"/>
                <w:sz w:val="24"/>
                <w:lang w:bidi="ar"/>
              </w:rPr>
            </w:pPr>
            <w:r>
              <w:rPr>
                <w:rFonts w:hint="eastAsia" w:ascii="仿宋_GB2312" w:hAnsi="仿宋_GB2312" w:eastAsia="仿宋_GB2312" w:cs="仿宋_GB2312"/>
                <w:kern w:val="0"/>
                <w:sz w:val="24"/>
                <w:lang w:bidi="ar"/>
              </w:rPr>
              <w:t>江苏省乡村著名行动重点推进地区</w:t>
            </w:r>
          </w:p>
        </w:tc>
        <w:tc>
          <w:tcPr>
            <w:tcW w:w="1062" w:type="dxa"/>
            <w:vAlign w:val="center"/>
          </w:tcPr>
          <w:p w14:paraId="0E572F28">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center"/>
              <w:rPr>
                <w:rFonts w:cs="Times New Roman"/>
                <w:kern w:val="0"/>
                <w:sz w:val="24"/>
                <w:lang w:bidi="ar"/>
              </w:rPr>
            </w:pPr>
            <w:r>
              <w:rPr>
                <w:rFonts w:cs="Times New Roman"/>
                <w:kern w:val="0"/>
                <w:sz w:val="24"/>
                <w:lang w:bidi="ar"/>
              </w:rPr>
              <w:t>省级</w:t>
            </w:r>
          </w:p>
        </w:tc>
      </w:tr>
      <w:tr w14:paraId="023C5E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80" w:type="dxa"/>
            <w:vAlign w:val="center"/>
          </w:tcPr>
          <w:p w14:paraId="6B7B6C17">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center"/>
              <w:rPr>
                <w:rFonts w:cs="Times New Roman"/>
                <w:kern w:val="0"/>
                <w:sz w:val="24"/>
                <w:lang w:bidi="ar"/>
              </w:rPr>
            </w:pPr>
            <w:r>
              <w:rPr>
                <w:rFonts w:cs="Times New Roman"/>
                <w:kern w:val="0"/>
                <w:sz w:val="24"/>
                <w:lang w:bidi="ar"/>
              </w:rPr>
              <w:t>2024</w:t>
            </w:r>
          </w:p>
        </w:tc>
        <w:tc>
          <w:tcPr>
            <w:tcW w:w="5838" w:type="dxa"/>
            <w:vAlign w:val="center"/>
          </w:tcPr>
          <w:p w14:paraId="78EEA198">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center"/>
              <w:rPr>
                <w:rFonts w:hint="eastAsia" w:ascii="仿宋_GB2312" w:hAnsi="仿宋_GB2312" w:eastAsia="仿宋_GB2312" w:cs="仿宋_GB2312"/>
                <w:kern w:val="0"/>
                <w:sz w:val="24"/>
                <w:lang w:bidi="ar"/>
              </w:rPr>
            </w:pPr>
            <w:r>
              <w:rPr>
                <w:rFonts w:hint="eastAsia" w:ascii="仿宋_GB2312" w:hAnsi="仿宋_GB2312" w:eastAsia="仿宋_GB2312" w:cs="仿宋_GB2312"/>
                <w:kern w:val="0"/>
                <w:sz w:val="24"/>
                <w:lang w:bidi="ar"/>
              </w:rPr>
              <w:t>江苏省省级标准居家社区养老服务网络地区</w:t>
            </w:r>
          </w:p>
        </w:tc>
        <w:tc>
          <w:tcPr>
            <w:tcW w:w="1062" w:type="dxa"/>
            <w:vAlign w:val="center"/>
          </w:tcPr>
          <w:p w14:paraId="75BA2C24">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center"/>
              <w:rPr>
                <w:rFonts w:cs="Times New Roman"/>
                <w:kern w:val="0"/>
                <w:sz w:val="24"/>
                <w:lang w:bidi="ar"/>
              </w:rPr>
            </w:pPr>
            <w:r>
              <w:rPr>
                <w:rFonts w:cs="Times New Roman"/>
                <w:kern w:val="0"/>
                <w:sz w:val="24"/>
                <w:lang w:bidi="ar"/>
              </w:rPr>
              <w:t>省级</w:t>
            </w:r>
          </w:p>
        </w:tc>
      </w:tr>
      <w:tr w14:paraId="7E678F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80" w:type="dxa"/>
            <w:vAlign w:val="center"/>
          </w:tcPr>
          <w:p w14:paraId="6110DD0A">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center"/>
              <w:rPr>
                <w:rFonts w:cs="Times New Roman"/>
                <w:kern w:val="0"/>
                <w:sz w:val="24"/>
                <w:lang w:bidi="ar"/>
              </w:rPr>
            </w:pPr>
            <w:r>
              <w:rPr>
                <w:rFonts w:cs="Times New Roman"/>
                <w:kern w:val="0"/>
                <w:sz w:val="24"/>
                <w:lang w:bidi="ar"/>
              </w:rPr>
              <w:t>2024</w:t>
            </w:r>
          </w:p>
        </w:tc>
        <w:tc>
          <w:tcPr>
            <w:tcW w:w="5838" w:type="dxa"/>
            <w:vAlign w:val="center"/>
          </w:tcPr>
          <w:p w14:paraId="5EFCB9C6">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center"/>
              <w:rPr>
                <w:rFonts w:hint="eastAsia" w:ascii="仿宋_GB2312" w:hAnsi="仿宋_GB2312" w:eastAsia="仿宋_GB2312" w:cs="仿宋_GB2312"/>
                <w:kern w:val="0"/>
                <w:sz w:val="24"/>
                <w:lang w:bidi="ar"/>
              </w:rPr>
            </w:pPr>
            <w:r>
              <w:rPr>
                <w:rFonts w:hint="eastAsia" w:ascii="仿宋_GB2312" w:hAnsi="仿宋_GB2312" w:eastAsia="仿宋_GB2312" w:cs="仿宋_GB2312"/>
                <w:kern w:val="0"/>
                <w:sz w:val="24"/>
                <w:lang w:bidi="ar"/>
              </w:rPr>
              <w:t>江苏省农作物病虫害绿色防控县</w:t>
            </w:r>
          </w:p>
        </w:tc>
        <w:tc>
          <w:tcPr>
            <w:tcW w:w="1062" w:type="dxa"/>
            <w:vAlign w:val="center"/>
          </w:tcPr>
          <w:p w14:paraId="206FDC6A">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center"/>
              <w:rPr>
                <w:rFonts w:cs="Times New Roman"/>
                <w:kern w:val="0"/>
                <w:sz w:val="24"/>
                <w:lang w:bidi="ar"/>
              </w:rPr>
            </w:pPr>
            <w:r>
              <w:rPr>
                <w:rFonts w:cs="Times New Roman"/>
                <w:kern w:val="0"/>
                <w:sz w:val="24"/>
                <w:lang w:bidi="ar"/>
              </w:rPr>
              <w:t>省级</w:t>
            </w:r>
          </w:p>
        </w:tc>
      </w:tr>
      <w:tr w14:paraId="40C2B6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80" w:type="dxa"/>
            <w:vAlign w:val="center"/>
          </w:tcPr>
          <w:p w14:paraId="65EC5B75">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center"/>
              <w:rPr>
                <w:rFonts w:cs="Times New Roman"/>
                <w:kern w:val="0"/>
                <w:sz w:val="24"/>
                <w:lang w:bidi="ar"/>
              </w:rPr>
            </w:pPr>
            <w:r>
              <w:rPr>
                <w:rFonts w:cs="Times New Roman"/>
                <w:kern w:val="0"/>
                <w:sz w:val="24"/>
                <w:lang w:bidi="ar"/>
              </w:rPr>
              <w:t>2024</w:t>
            </w:r>
          </w:p>
        </w:tc>
        <w:tc>
          <w:tcPr>
            <w:tcW w:w="5838" w:type="dxa"/>
            <w:vAlign w:val="center"/>
          </w:tcPr>
          <w:p w14:paraId="377D74A4">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center"/>
              <w:rPr>
                <w:rFonts w:hint="eastAsia" w:ascii="仿宋_GB2312" w:hAnsi="仿宋_GB2312" w:eastAsia="仿宋_GB2312" w:cs="仿宋_GB2312"/>
                <w:kern w:val="0"/>
                <w:sz w:val="24"/>
                <w:lang w:bidi="ar"/>
              </w:rPr>
            </w:pPr>
            <w:r>
              <w:rPr>
                <w:rFonts w:hint="eastAsia" w:ascii="仿宋_GB2312" w:hAnsi="仿宋_GB2312" w:eastAsia="仿宋_GB2312" w:cs="仿宋_GB2312"/>
                <w:kern w:val="0"/>
                <w:sz w:val="24"/>
                <w:lang w:bidi="ar"/>
              </w:rPr>
              <w:t>推进乡村全面振兴争先进位县</w:t>
            </w:r>
          </w:p>
        </w:tc>
        <w:tc>
          <w:tcPr>
            <w:tcW w:w="1062" w:type="dxa"/>
            <w:vAlign w:val="center"/>
          </w:tcPr>
          <w:p w14:paraId="62F088F3">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center"/>
              <w:rPr>
                <w:rFonts w:cs="Times New Roman"/>
                <w:kern w:val="0"/>
                <w:sz w:val="24"/>
                <w:lang w:bidi="ar"/>
              </w:rPr>
            </w:pPr>
            <w:r>
              <w:rPr>
                <w:rFonts w:cs="Times New Roman"/>
                <w:kern w:val="0"/>
                <w:sz w:val="24"/>
                <w:lang w:bidi="ar"/>
              </w:rPr>
              <w:t>省级</w:t>
            </w:r>
          </w:p>
        </w:tc>
      </w:tr>
      <w:tr w14:paraId="2D73A0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80" w:type="dxa"/>
            <w:vAlign w:val="center"/>
          </w:tcPr>
          <w:p w14:paraId="08D2FB3F">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center"/>
              <w:rPr>
                <w:rFonts w:cs="Times New Roman"/>
                <w:kern w:val="0"/>
                <w:sz w:val="24"/>
                <w:lang w:bidi="ar"/>
              </w:rPr>
            </w:pPr>
            <w:r>
              <w:rPr>
                <w:rFonts w:cs="Times New Roman"/>
                <w:kern w:val="0"/>
                <w:sz w:val="24"/>
                <w:lang w:bidi="ar"/>
              </w:rPr>
              <w:t>2024</w:t>
            </w:r>
          </w:p>
        </w:tc>
        <w:tc>
          <w:tcPr>
            <w:tcW w:w="5838" w:type="dxa"/>
            <w:vAlign w:val="center"/>
          </w:tcPr>
          <w:p w14:paraId="20FD43C8">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center"/>
              <w:rPr>
                <w:rFonts w:hint="eastAsia" w:ascii="仿宋_GB2312" w:hAnsi="仿宋_GB2312" w:eastAsia="仿宋_GB2312" w:cs="仿宋_GB2312"/>
                <w:kern w:val="0"/>
                <w:sz w:val="24"/>
                <w:lang w:bidi="ar"/>
              </w:rPr>
            </w:pPr>
            <w:r>
              <w:rPr>
                <w:rFonts w:hint="eastAsia" w:ascii="仿宋_GB2312" w:hAnsi="仿宋_GB2312" w:eastAsia="仿宋_GB2312" w:cs="仿宋_GB2312"/>
                <w:kern w:val="0"/>
                <w:sz w:val="24"/>
                <w:lang w:bidi="ar"/>
              </w:rPr>
              <w:t>“社区青年干事”项目试点</w:t>
            </w:r>
          </w:p>
        </w:tc>
        <w:tc>
          <w:tcPr>
            <w:tcW w:w="1062" w:type="dxa"/>
            <w:vAlign w:val="center"/>
          </w:tcPr>
          <w:p w14:paraId="2F1E035C">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center"/>
              <w:rPr>
                <w:rFonts w:cs="Times New Roman"/>
                <w:kern w:val="0"/>
                <w:sz w:val="24"/>
                <w:lang w:bidi="ar"/>
              </w:rPr>
            </w:pPr>
            <w:r>
              <w:rPr>
                <w:rFonts w:cs="Times New Roman"/>
                <w:kern w:val="0"/>
                <w:sz w:val="24"/>
                <w:lang w:bidi="ar"/>
              </w:rPr>
              <w:t>省级</w:t>
            </w:r>
          </w:p>
        </w:tc>
      </w:tr>
      <w:tr w14:paraId="22C09C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80" w:type="dxa"/>
            <w:vAlign w:val="center"/>
          </w:tcPr>
          <w:p w14:paraId="47E65A3E">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center"/>
              <w:rPr>
                <w:rFonts w:cs="Times New Roman"/>
                <w:kern w:val="0"/>
                <w:sz w:val="24"/>
                <w:lang w:bidi="ar"/>
              </w:rPr>
            </w:pPr>
            <w:r>
              <w:rPr>
                <w:rFonts w:cs="Times New Roman"/>
                <w:kern w:val="0"/>
                <w:sz w:val="24"/>
                <w:lang w:bidi="ar"/>
              </w:rPr>
              <w:t>2023</w:t>
            </w:r>
          </w:p>
        </w:tc>
        <w:tc>
          <w:tcPr>
            <w:tcW w:w="5838" w:type="dxa"/>
            <w:vAlign w:val="center"/>
          </w:tcPr>
          <w:p w14:paraId="6B20CBDF">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center"/>
              <w:rPr>
                <w:rFonts w:hint="eastAsia" w:ascii="仿宋_GB2312" w:hAnsi="仿宋_GB2312" w:eastAsia="仿宋_GB2312" w:cs="仿宋_GB2312"/>
                <w:kern w:val="0"/>
                <w:sz w:val="24"/>
                <w:lang w:bidi="ar"/>
              </w:rPr>
            </w:pPr>
            <w:r>
              <w:rPr>
                <w:rFonts w:hint="eastAsia" w:ascii="仿宋_GB2312" w:hAnsi="仿宋_GB2312" w:eastAsia="仿宋_GB2312" w:cs="仿宋_GB2312"/>
                <w:kern w:val="0"/>
                <w:sz w:val="24"/>
                <w:lang w:bidi="ar"/>
              </w:rPr>
              <w:t>江苏省创新型示范区</w:t>
            </w:r>
          </w:p>
        </w:tc>
        <w:tc>
          <w:tcPr>
            <w:tcW w:w="1062" w:type="dxa"/>
            <w:vAlign w:val="center"/>
          </w:tcPr>
          <w:p w14:paraId="643A1190">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center"/>
              <w:rPr>
                <w:rFonts w:cs="Times New Roman"/>
                <w:kern w:val="0"/>
                <w:sz w:val="24"/>
                <w:lang w:bidi="ar"/>
              </w:rPr>
            </w:pPr>
            <w:r>
              <w:rPr>
                <w:rFonts w:cs="Times New Roman"/>
                <w:kern w:val="0"/>
                <w:sz w:val="24"/>
                <w:lang w:bidi="ar"/>
              </w:rPr>
              <w:t>省级</w:t>
            </w:r>
          </w:p>
        </w:tc>
      </w:tr>
      <w:tr w14:paraId="086D20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80" w:type="dxa"/>
            <w:vAlign w:val="center"/>
          </w:tcPr>
          <w:p w14:paraId="523AF6C5">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center"/>
              <w:rPr>
                <w:rFonts w:cs="Times New Roman"/>
                <w:kern w:val="0"/>
                <w:sz w:val="24"/>
                <w:lang w:bidi="ar"/>
              </w:rPr>
            </w:pPr>
            <w:r>
              <w:rPr>
                <w:rFonts w:cs="Times New Roman"/>
                <w:kern w:val="0"/>
                <w:sz w:val="24"/>
                <w:lang w:bidi="ar"/>
              </w:rPr>
              <w:t>2023</w:t>
            </w:r>
          </w:p>
        </w:tc>
        <w:tc>
          <w:tcPr>
            <w:tcW w:w="5838" w:type="dxa"/>
            <w:vAlign w:val="center"/>
          </w:tcPr>
          <w:p w14:paraId="3B19C7BF">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center"/>
              <w:rPr>
                <w:rFonts w:hint="eastAsia" w:ascii="仿宋_GB2312" w:hAnsi="仿宋_GB2312" w:eastAsia="仿宋_GB2312" w:cs="仿宋_GB2312"/>
                <w:kern w:val="0"/>
                <w:sz w:val="24"/>
                <w:lang w:bidi="ar"/>
              </w:rPr>
            </w:pPr>
            <w:r>
              <w:rPr>
                <w:rFonts w:hint="eastAsia" w:ascii="仿宋_GB2312" w:hAnsi="仿宋_GB2312" w:eastAsia="仿宋_GB2312" w:cs="仿宋_GB2312"/>
                <w:kern w:val="0"/>
                <w:sz w:val="24"/>
                <w:lang w:bidi="ar"/>
              </w:rPr>
              <w:t>江苏省知识产权建设示范（县域）</w:t>
            </w:r>
          </w:p>
        </w:tc>
        <w:tc>
          <w:tcPr>
            <w:tcW w:w="1062" w:type="dxa"/>
            <w:vAlign w:val="center"/>
          </w:tcPr>
          <w:p w14:paraId="6710BE9B">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center"/>
              <w:rPr>
                <w:rFonts w:cs="Times New Roman"/>
                <w:kern w:val="0"/>
                <w:sz w:val="24"/>
                <w:lang w:bidi="ar"/>
              </w:rPr>
            </w:pPr>
            <w:r>
              <w:rPr>
                <w:rFonts w:cs="Times New Roman"/>
                <w:kern w:val="0"/>
                <w:sz w:val="24"/>
                <w:lang w:bidi="ar"/>
              </w:rPr>
              <w:t>省级</w:t>
            </w:r>
          </w:p>
        </w:tc>
      </w:tr>
      <w:tr w14:paraId="7B729C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80" w:type="dxa"/>
            <w:vAlign w:val="center"/>
          </w:tcPr>
          <w:p w14:paraId="5D826A9D">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center"/>
              <w:rPr>
                <w:rFonts w:cs="Times New Roman"/>
                <w:kern w:val="0"/>
                <w:sz w:val="24"/>
                <w:lang w:bidi="ar"/>
              </w:rPr>
            </w:pPr>
            <w:r>
              <w:rPr>
                <w:rFonts w:cs="Times New Roman"/>
                <w:kern w:val="0"/>
                <w:sz w:val="24"/>
                <w:lang w:bidi="ar"/>
              </w:rPr>
              <w:t>2023</w:t>
            </w:r>
          </w:p>
        </w:tc>
        <w:tc>
          <w:tcPr>
            <w:tcW w:w="5838" w:type="dxa"/>
            <w:vAlign w:val="center"/>
          </w:tcPr>
          <w:p w14:paraId="6F40E186">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center"/>
              <w:rPr>
                <w:rFonts w:hint="eastAsia" w:ascii="仿宋_GB2312" w:hAnsi="仿宋_GB2312" w:eastAsia="仿宋_GB2312" w:cs="仿宋_GB2312"/>
                <w:kern w:val="0"/>
                <w:sz w:val="24"/>
                <w:lang w:bidi="ar"/>
              </w:rPr>
            </w:pPr>
            <w:r>
              <w:rPr>
                <w:rFonts w:hint="eastAsia" w:ascii="仿宋_GB2312" w:hAnsi="仿宋_GB2312" w:eastAsia="仿宋_GB2312" w:cs="仿宋_GB2312"/>
                <w:kern w:val="0"/>
                <w:sz w:val="24"/>
                <w:lang w:bidi="ar"/>
              </w:rPr>
              <w:t>江苏省科普示范县（市、区）</w:t>
            </w:r>
          </w:p>
        </w:tc>
        <w:tc>
          <w:tcPr>
            <w:tcW w:w="1062" w:type="dxa"/>
            <w:vAlign w:val="center"/>
          </w:tcPr>
          <w:p w14:paraId="2718BF60">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center"/>
              <w:rPr>
                <w:rFonts w:cs="Times New Roman"/>
                <w:kern w:val="0"/>
                <w:sz w:val="24"/>
                <w:lang w:bidi="ar"/>
              </w:rPr>
            </w:pPr>
            <w:r>
              <w:rPr>
                <w:rFonts w:cs="Times New Roman"/>
                <w:kern w:val="0"/>
                <w:sz w:val="24"/>
                <w:lang w:bidi="ar"/>
              </w:rPr>
              <w:t>省级</w:t>
            </w:r>
          </w:p>
        </w:tc>
      </w:tr>
      <w:tr w14:paraId="54F960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80" w:type="dxa"/>
            <w:vAlign w:val="center"/>
          </w:tcPr>
          <w:p w14:paraId="76F30653">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center"/>
              <w:rPr>
                <w:rFonts w:cs="Times New Roman"/>
                <w:kern w:val="0"/>
                <w:sz w:val="24"/>
                <w:lang w:bidi="ar"/>
              </w:rPr>
            </w:pPr>
            <w:r>
              <w:rPr>
                <w:rFonts w:cs="Times New Roman"/>
                <w:kern w:val="0"/>
                <w:sz w:val="24"/>
                <w:lang w:bidi="ar"/>
              </w:rPr>
              <w:t>2023</w:t>
            </w:r>
          </w:p>
        </w:tc>
        <w:tc>
          <w:tcPr>
            <w:tcW w:w="5838" w:type="dxa"/>
            <w:vAlign w:val="center"/>
          </w:tcPr>
          <w:p w14:paraId="64468314">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center"/>
              <w:rPr>
                <w:rFonts w:hint="eastAsia" w:ascii="仿宋_GB2312" w:hAnsi="仿宋_GB2312" w:eastAsia="仿宋_GB2312" w:cs="仿宋_GB2312"/>
                <w:kern w:val="0"/>
                <w:sz w:val="24"/>
                <w:lang w:bidi="ar"/>
              </w:rPr>
            </w:pPr>
            <w:r>
              <w:rPr>
                <w:rFonts w:hint="eastAsia" w:ascii="仿宋_GB2312" w:hAnsi="仿宋_GB2312" w:eastAsia="仿宋_GB2312" w:cs="仿宋_GB2312"/>
                <w:kern w:val="0"/>
                <w:sz w:val="24"/>
                <w:lang w:bidi="ar"/>
              </w:rPr>
              <w:t>江苏省丧葬礼俗改革试点县（市、区）</w:t>
            </w:r>
          </w:p>
        </w:tc>
        <w:tc>
          <w:tcPr>
            <w:tcW w:w="1062" w:type="dxa"/>
            <w:vAlign w:val="center"/>
          </w:tcPr>
          <w:p w14:paraId="001F89E2">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center"/>
              <w:rPr>
                <w:rFonts w:cs="Times New Roman"/>
                <w:kern w:val="0"/>
                <w:sz w:val="24"/>
                <w:lang w:bidi="ar"/>
              </w:rPr>
            </w:pPr>
            <w:r>
              <w:rPr>
                <w:rFonts w:cs="Times New Roman"/>
                <w:kern w:val="0"/>
                <w:sz w:val="24"/>
                <w:lang w:bidi="ar"/>
              </w:rPr>
              <w:t>省级</w:t>
            </w:r>
          </w:p>
        </w:tc>
      </w:tr>
      <w:tr w14:paraId="1C5DE4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80" w:type="dxa"/>
            <w:vAlign w:val="center"/>
          </w:tcPr>
          <w:p w14:paraId="7E0ACB76">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center"/>
              <w:rPr>
                <w:rFonts w:cs="Times New Roman"/>
                <w:kern w:val="0"/>
                <w:sz w:val="24"/>
                <w:lang w:bidi="ar"/>
              </w:rPr>
            </w:pPr>
            <w:r>
              <w:rPr>
                <w:rFonts w:cs="Times New Roman"/>
                <w:kern w:val="0"/>
                <w:sz w:val="24"/>
                <w:lang w:bidi="ar"/>
              </w:rPr>
              <w:t>2023</w:t>
            </w:r>
          </w:p>
        </w:tc>
        <w:tc>
          <w:tcPr>
            <w:tcW w:w="5838" w:type="dxa"/>
            <w:vAlign w:val="center"/>
          </w:tcPr>
          <w:p w14:paraId="7F2C5843">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center"/>
              <w:rPr>
                <w:rFonts w:hint="eastAsia" w:ascii="仿宋_GB2312" w:hAnsi="仿宋_GB2312" w:eastAsia="仿宋_GB2312" w:cs="仿宋_GB2312"/>
                <w:kern w:val="0"/>
                <w:sz w:val="24"/>
                <w:lang w:bidi="ar"/>
              </w:rPr>
            </w:pPr>
            <w:r>
              <w:rPr>
                <w:rFonts w:hint="eastAsia" w:ascii="仿宋_GB2312" w:hAnsi="仿宋_GB2312" w:eastAsia="仿宋_GB2312" w:cs="仿宋_GB2312"/>
                <w:kern w:val="0"/>
                <w:sz w:val="24"/>
                <w:lang w:bidi="ar"/>
              </w:rPr>
              <w:t>养老服务体系建设真抓实干成效明显地区</w:t>
            </w:r>
          </w:p>
        </w:tc>
        <w:tc>
          <w:tcPr>
            <w:tcW w:w="1062" w:type="dxa"/>
            <w:vAlign w:val="center"/>
          </w:tcPr>
          <w:p w14:paraId="6342FFD8">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center"/>
              <w:rPr>
                <w:rFonts w:cs="Times New Roman"/>
                <w:kern w:val="0"/>
                <w:sz w:val="24"/>
                <w:lang w:bidi="ar"/>
              </w:rPr>
            </w:pPr>
            <w:r>
              <w:rPr>
                <w:rFonts w:cs="Times New Roman"/>
                <w:kern w:val="0"/>
                <w:sz w:val="24"/>
                <w:lang w:bidi="ar"/>
              </w:rPr>
              <w:t>省级</w:t>
            </w:r>
          </w:p>
        </w:tc>
      </w:tr>
      <w:tr w14:paraId="55FCD2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80" w:type="dxa"/>
            <w:vAlign w:val="center"/>
          </w:tcPr>
          <w:p w14:paraId="592326D1">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center"/>
              <w:rPr>
                <w:rFonts w:cs="Times New Roman"/>
                <w:kern w:val="0"/>
                <w:sz w:val="24"/>
                <w:lang w:bidi="ar"/>
              </w:rPr>
            </w:pPr>
            <w:r>
              <w:rPr>
                <w:rFonts w:cs="Times New Roman"/>
                <w:kern w:val="0"/>
                <w:sz w:val="24"/>
                <w:lang w:bidi="ar"/>
              </w:rPr>
              <w:t>2023</w:t>
            </w:r>
          </w:p>
        </w:tc>
        <w:tc>
          <w:tcPr>
            <w:tcW w:w="5838" w:type="dxa"/>
            <w:vAlign w:val="center"/>
          </w:tcPr>
          <w:p w14:paraId="349502E8">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center"/>
              <w:rPr>
                <w:rFonts w:hint="eastAsia" w:ascii="仿宋_GB2312" w:hAnsi="仿宋_GB2312" w:eastAsia="仿宋_GB2312" w:cs="仿宋_GB2312"/>
                <w:kern w:val="0"/>
                <w:sz w:val="24"/>
                <w:lang w:bidi="ar"/>
              </w:rPr>
            </w:pPr>
            <w:r>
              <w:rPr>
                <w:rFonts w:hint="eastAsia" w:ascii="仿宋_GB2312" w:hAnsi="仿宋_GB2312" w:eastAsia="仿宋_GB2312" w:cs="仿宋_GB2312"/>
                <w:kern w:val="0"/>
                <w:sz w:val="24"/>
                <w:lang w:bidi="ar"/>
              </w:rPr>
              <w:t>制造业智改数转真抓实干成效明显地区</w:t>
            </w:r>
          </w:p>
        </w:tc>
        <w:tc>
          <w:tcPr>
            <w:tcW w:w="1062" w:type="dxa"/>
            <w:vAlign w:val="center"/>
          </w:tcPr>
          <w:p w14:paraId="539D5619">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center"/>
              <w:rPr>
                <w:rFonts w:cs="Times New Roman"/>
                <w:kern w:val="0"/>
                <w:sz w:val="24"/>
                <w:lang w:bidi="ar"/>
              </w:rPr>
            </w:pPr>
            <w:r>
              <w:rPr>
                <w:rFonts w:cs="Times New Roman"/>
                <w:kern w:val="0"/>
                <w:sz w:val="24"/>
                <w:lang w:bidi="ar"/>
              </w:rPr>
              <w:t>省级</w:t>
            </w:r>
          </w:p>
        </w:tc>
      </w:tr>
      <w:tr w14:paraId="74063F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80" w:type="dxa"/>
            <w:vAlign w:val="center"/>
          </w:tcPr>
          <w:p w14:paraId="5F21752A">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center"/>
              <w:rPr>
                <w:rFonts w:cs="Times New Roman"/>
                <w:kern w:val="0"/>
                <w:sz w:val="24"/>
                <w:lang w:bidi="ar"/>
              </w:rPr>
            </w:pPr>
            <w:r>
              <w:rPr>
                <w:rFonts w:cs="Times New Roman"/>
                <w:kern w:val="0"/>
                <w:sz w:val="24"/>
                <w:lang w:bidi="ar"/>
              </w:rPr>
              <w:t>2023</w:t>
            </w:r>
          </w:p>
        </w:tc>
        <w:tc>
          <w:tcPr>
            <w:tcW w:w="5838" w:type="dxa"/>
            <w:vAlign w:val="center"/>
          </w:tcPr>
          <w:p w14:paraId="2198B6BC">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center"/>
              <w:rPr>
                <w:rFonts w:hint="eastAsia" w:ascii="仿宋_GB2312" w:hAnsi="仿宋_GB2312" w:eastAsia="仿宋_GB2312" w:cs="仿宋_GB2312"/>
                <w:kern w:val="0"/>
                <w:sz w:val="24"/>
                <w:lang w:bidi="ar"/>
              </w:rPr>
            </w:pPr>
            <w:r>
              <w:rPr>
                <w:rFonts w:hint="eastAsia" w:ascii="仿宋_GB2312" w:hAnsi="仿宋_GB2312" w:eastAsia="仿宋_GB2312" w:cs="仿宋_GB2312"/>
                <w:kern w:val="0"/>
                <w:sz w:val="24"/>
                <w:lang w:bidi="ar"/>
              </w:rPr>
              <w:t>政府督查真抓实干成效明显地区</w:t>
            </w:r>
          </w:p>
        </w:tc>
        <w:tc>
          <w:tcPr>
            <w:tcW w:w="1062" w:type="dxa"/>
            <w:vAlign w:val="center"/>
          </w:tcPr>
          <w:p w14:paraId="7AA7020A">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center"/>
              <w:rPr>
                <w:rFonts w:cs="Times New Roman"/>
                <w:kern w:val="0"/>
                <w:sz w:val="24"/>
                <w:lang w:bidi="ar"/>
              </w:rPr>
            </w:pPr>
            <w:r>
              <w:rPr>
                <w:rFonts w:cs="Times New Roman"/>
                <w:kern w:val="0"/>
                <w:sz w:val="24"/>
                <w:lang w:bidi="ar"/>
              </w:rPr>
              <w:t>省级</w:t>
            </w:r>
          </w:p>
        </w:tc>
      </w:tr>
      <w:tr w14:paraId="5F3DED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80" w:type="dxa"/>
            <w:vAlign w:val="center"/>
          </w:tcPr>
          <w:p w14:paraId="2EB48F2E">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center"/>
              <w:rPr>
                <w:rFonts w:cs="Times New Roman"/>
                <w:kern w:val="0"/>
                <w:sz w:val="24"/>
                <w:lang w:bidi="ar"/>
              </w:rPr>
            </w:pPr>
            <w:r>
              <w:rPr>
                <w:rFonts w:cs="Times New Roman"/>
                <w:kern w:val="0"/>
                <w:sz w:val="24"/>
                <w:lang w:bidi="ar"/>
              </w:rPr>
              <w:t>2022-2023</w:t>
            </w:r>
          </w:p>
        </w:tc>
        <w:tc>
          <w:tcPr>
            <w:tcW w:w="5838" w:type="dxa"/>
            <w:vAlign w:val="center"/>
          </w:tcPr>
          <w:p w14:paraId="5FE59BF8">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center"/>
              <w:rPr>
                <w:rFonts w:hint="eastAsia" w:ascii="仿宋_GB2312" w:hAnsi="仿宋_GB2312" w:eastAsia="仿宋_GB2312" w:cs="仿宋_GB2312"/>
                <w:kern w:val="0"/>
                <w:sz w:val="24"/>
                <w:lang w:bidi="ar"/>
              </w:rPr>
            </w:pPr>
            <w:r>
              <w:rPr>
                <w:rFonts w:hint="eastAsia" w:ascii="仿宋_GB2312" w:hAnsi="仿宋_GB2312" w:eastAsia="仿宋_GB2312" w:cs="仿宋_GB2312"/>
                <w:kern w:val="0"/>
                <w:sz w:val="24"/>
                <w:lang w:bidi="ar"/>
              </w:rPr>
              <w:t>全省信访工作示范县（市、区）</w:t>
            </w:r>
          </w:p>
        </w:tc>
        <w:tc>
          <w:tcPr>
            <w:tcW w:w="1062" w:type="dxa"/>
            <w:vAlign w:val="center"/>
          </w:tcPr>
          <w:p w14:paraId="069D6525">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center"/>
              <w:rPr>
                <w:rFonts w:cs="Times New Roman"/>
                <w:kern w:val="0"/>
                <w:sz w:val="24"/>
                <w:lang w:bidi="ar"/>
              </w:rPr>
            </w:pPr>
            <w:r>
              <w:rPr>
                <w:rFonts w:cs="Times New Roman"/>
                <w:kern w:val="0"/>
                <w:sz w:val="24"/>
                <w:lang w:bidi="ar"/>
              </w:rPr>
              <w:t>省级</w:t>
            </w:r>
          </w:p>
        </w:tc>
      </w:tr>
      <w:tr w14:paraId="4C6CC2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80" w:type="dxa"/>
            <w:vAlign w:val="center"/>
          </w:tcPr>
          <w:p w14:paraId="65BCA0F5">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center"/>
              <w:rPr>
                <w:rFonts w:eastAsia="方正仿宋_GBK" w:cs="Times New Roman"/>
                <w:kern w:val="0"/>
                <w:sz w:val="24"/>
                <w:lang w:bidi="ar"/>
              </w:rPr>
            </w:pPr>
            <w:r>
              <w:rPr>
                <w:rFonts w:cs="Times New Roman"/>
                <w:kern w:val="0"/>
                <w:sz w:val="24"/>
                <w:lang w:bidi="ar"/>
              </w:rPr>
              <w:t>2023</w:t>
            </w:r>
          </w:p>
        </w:tc>
        <w:tc>
          <w:tcPr>
            <w:tcW w:w="5838" w:type="dxa"/>
            <w:vAlign w:val="center"/>
          </w:tcPr>
          <w:p w14:paraId="1077B38B">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center"/>
              <w:rPr>
                <w:rFonts w:hint="eastAsia" w:ascii="仿宋_GB2312" w:hAnsi="仿宋_GB2312" w:eastAsia="仿宋_GB2312" w:cs="仿宋_GB2312"/>
                <w:kern w:val="0"/>
                <w:sz w:val="24"/>
                <w:lang w:bidi="ar"/>
              </w:rPr>
            </w:pPr>
            <w:r>
              <w:rPr>
                <w:rFonts w:hint="eastAsia" w:ascii="仿宋_GB2312" w:hAnsi="仿宋_GB2312" w:eastAsia="仿宋_GB2312" w:cs="仿宋_GB2312"/>
                <w:kern w:val="0"/>
                <w:sz w:val="24"/>
                <w:lang w:bidi="ar"/>
              </w:rPr>
              <w:t>全省治理重复信访化解信访积案专项工作先进单位</w:t>
            </w:r>
          </w:p>
        </w:tc>
        <w:tc>
          <w:tcPr>
            <w:tcW w:w="1062" w:type="dxa"/>
            <w:vAlign w:val="center"/>
          </w:tcPr>
          <w:p w14:paraId="5B2F9B7C">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center"/>
              <w:rPr>
                <w:rFonts w:eastAsia="方正仿宋_GBK" w:cs="Times New Roman"/>
                <w:kern w:val="0"/>
                <w:sz w:val="24"/>
                <w:lang w:bidi="ar"/>
              </w:rPr>
            </w:pPr>
            <w:r>
              <w:rPr>
                <w:rFonts w:cs="Times New Roman"/>
                <w:kern w:val="0"/>
                <w:sz w:val="24"/>
                <w:lang w:bidi="ar"/>
              </w:rPr>
              <w:t>省级</w:t>
            </w:r>
          </w:p>
        </w:tc>
      </w:tr>
      <w:tr w14:paraId="5655D3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1280" w:type="dxa"/>
            <w:vAlign w:val="center"/>
          </w:tcPr>
          <w:p w14:paraId="036FB71F">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center"/>
              <w:rPr>
                <w:rFonts w:cs="Times New Roman"/>
                <w:kern w:val="0"/>
                <w:sz w:val="24"/>
                <w:lang w:bidi="ar"/>
              </w:rPr>
            </w:pPr>
            <w:r>
              <w:rPr>
                <w:rFonts w:cs="Times New Roman"/>
                <w:kern w:val="0"/>
                <w:sz w:val="24"/>
                <w:lang w:bidi="ar"/>
              </w:rPr>
              <w:t>2022</w:t>
            </w:r>
          </w:p>
        </w:tc>
        <w:tc>
          <w:tcPr>
            <w:tcW w:w="5838" w:type="dxa"/>
            <w:vAlign w:val="center"/>
          </w:tcPr>
          <w:p w14:paraId="6FD0E053">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center"/>
              <w:rPr>
                <w:rFonts w:hint="eastAsia" w:ascii="仿宋_GB2312" w:hAnsi="仿宋_GB2312" w:eastAsia="仿宋_GB2312" w:cs="仿宋_GB2312"/>
                <w:kern w:val="0"/>
                <w:sz w:val="24"/>
                <w:lang w:bidi="ar"/>
              </w:rPr>
            </w:pPr>
            <w:r>
              <w:rPr>
                <w:rFonts w:hint="eastAsia" w:ascii="仿宋_GB2312" w:hAnsi="仿宋_GB2312" w:eastAsia="仿宋_GB2312" w:cs="仿宋_GB2312"/>
                <w:kern w:val="0"/>
                <w:sz w:val="24"/>
                <w:lang w:bidi="ar"/>
              </w:rPr>
              <w:t>省级农业现代化先行区</w:t>
            </w:r>
          </w:p>
        </w:tc>
        <w:tc>
          <w:tcPr>
            <w:tcW w:w="1062" w:type="dxa"/>
            <w:vAlign w:val="center"/>
          </w:tcPr>
          <w:p w14:paraId="3B3AB59B">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center"/>
              <w:rPr>
                <w:rFonts w:cs="Times New Roman"/>
                <w:kern w:val="0"/>
                <w:sz w:val="24"/>
                <w:lang w:bidi="ar"/>
              </w:rPr>
            </w:pPr>
            <w:r>
              <w:rPr>
                <w:rFonts w:cs="Times New Roman"/>
                <w:kern w:val="0"/>
                <w:sz w:val="24"/>
                <w:lang w:bidi="ar"/>
              </w:rPr>
              <w:t>省级</w:t>
            </w:r>
          </w:p>
        </w:tc>
      </w:tr>
      <w:tr w14:paraId="33520E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80" w:type="dxa"/>
            <w:vAlign w:val="center"/>
          </w:tcPr>
          <w:p w14:paraId="358E6819">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center"/>
              <w:rPr>
                <w:rFonts w:cs="Times New Roman"/>
                <w:kern w:val="0"/>
                <w:sz w:val="24"/>
                <w:lang w:bidi="ar"/>
              </w:rPr>
            </w:pPr>
            <w:r>
              <w:rPr>
                <w:rFonts w:cs="Times New Roman"/>
                <w:kern w:val="0"/>
                <w:sz w:val="24"/>
                <w:lang w:bidi="ar"/>
              </w:rPr>
              <w:t>2022</w:t>
            </w:r>
          </w:p>
        </w:tc>
        <w:tc>
          <w:tcPr>
            <w:tcW w:w="5838" w:type="dxa"/>
            <w:vAlign w:val="center"/>
          </w:tcPr>
          <w:p w14:paraId="333C60C6">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center"/>
              <w:rPr>
                <w:rFonts w:hint="eastAsia" w:ascii="仿宋_GB2312" w:hAnsi="仿宋_GB2312" w:eastAsia="仿宋_GB2312" w:cs="仿宋_GB2312"/>
                <w:kern w:val="0"/>
                <w:sz w:val="24"/>
                <w:lang w:bidi="ar"/>
              </w:rPr>
            </w:pPr>
            <w:r>
              <w:rPr>
                <w:rFonts w:hint="eastAsia" w:ascii="仿宋_GB2312" w:hAnsi="仿宋_GB2312" w:eastAsia="仿宋_GB2312" w:cs="仿宋_GB2312"/>
                <w:kern w:val="0"/>
                <w:sz w:val="24"/>
                <w:lang w:bidi="ar"/>
              </w:rPr>
              <w:t>江苏省双拥模范区</w:t>
            </w:r>
          </w:p>
        </w:tc>
        <w:tc>
          <w:tcPr>
            <w:tcW w:w="1062" w:type="dxa"/>
            <w:vAlign w:val="center"/>
          </w:tcPr>
          <w:p w14:paraId="2E594FAB">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center"/>
              <w:rPr>
                <w:rFonts w:cs="Times New Roman"/>
                <w:kern w:val="0"/>
                <w:sz w:val="24"/>
                <w:lang w:bidi="ar"/>
              </w:rPr>
            </w:pPr>
            <w:r>
              <w:rPr>
                <w:rFonts w:cs="Times New Roman"/>
                <w:kern w:val="0"/>
                <w:sz w:val="24"/>
                <w:lang w:bidi="ar"/>
              </w:rPr>
              <w:t>省级</w:t>
            </w:r>
          </w:p>
        </w:tc>
      </w:tr>
      <w:tr w14:paraId="2FED9E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80" w:type="dxa"/>
            <w:vAlign w:val="center"/>
          </w:tcPr>
          <w:p w14:paraId="6DFEDFCD">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center"/>
              <w:rPr>
                <w:rFonts w:cs="Times New Roman"/>
                <w:kern w:val="0"/>
                <w:sz w:val="24"/>
                <w:lang w:bidi="ar"/>
              </w:rPr>
            </w:pPr>
            <w:r>
              <w:rPr>
                <w:rFonts w:cs="Times New Roman"/>
                <w:kern w:val="0"/>
                <w:sz w:val="24"/>
                <w:lang w:bidi="ar"/>
              </w:rPr>
              <w:t>2022</w:t>
            </w:r>
          </w:p>
        </w:tc>
        <w:tc>
          <w:tcPr>
            <w:tcW w:w="5838" w:type="dxa"/>
            <w:vAlign w:val="center"/>
          </w:tcPr>
          <w:p w14:paraId="65DCB4A1">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center"/>
              <w:rPr>
                <w:rFonts w:hint="eastAsia" w:ascii="仿宋_GB2312" w:hAnsi="仿宋_GB2312" w:eastAsia="仿宋_GB2312" w:cs="仿宋_GB2312"/>
                <w:kern w:val="0"/>
                <w:sz w:val="24"/>
                <w:lang w:bidi="ar"/>
              </w:rPr>
            </w:pPr>
            <w:r>
              <w:rPr>
                <w:rFonts w:hint="eastAsia" w:ascii="仿宋_GB2312" w:hAnsi="仿宋_GB2312" w:eastAsia="仿宋_GB2312" w:cs="仿宋_GB2312"/>
                <w:kern w:val="0"/>
                <w:sz w:val="24"/>
                <w:lang w:bidi="ar"/>
              </w:rPr>
              <w:t>省级全域旅游示范区</w:t>
            </w:r>
          </w:p>
        </w:tc>
        <w:tc>
          <w:tcPr>
            <w:tcW w:w="1062" w:type="dxa"/>
            <w:vAlign w:val="center"/>
          </w:tcPr>
          <w:p w14:paraId="5F0A79C0">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center"/>
              <w:rPr>
                <w:rFonts w:cs="Times New Roman"/>
                <w:kern w:val="0"/>
                <w:sz w:val="24"/>
                <w:lang w:bidi="ar"/>
              </w:rPr>
            </w:pPr>
            <w:r>
              <w:rPr>
                <w:rFonts w:cs="Times New Roman"/>
                <w:kern w:val="0"/>
                <w:sz w:val="24"/>
                <w:lang w:bidi="ar"/>
              </w:rPr>
              <w:t>省级</w:t>
            </w:r>
          </w:p>
        </w:tc>
      </w:tr>
      <w:tr w14:paraId="6A86A0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80" w:type="dxa"/>
            <w:vAlign w:val="center"/>
          </w:tcPr>
          <w:p w14:paraId="49F404CF">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center"/>
              <w:rPr>
                <w:rFonts w:cs="Times New Roman"/>
                <w:kern w:val="0"/>
                <w:sz w:val="24"/>
                <w:lang w:bidi="ar"/>
              </w:rPr>
            </w:pPr>
            <w:r>
              <w:rPr>
                <w:rFonts w:cs="Times New Roman"/>
                <w:kern w:val="0"/>
                <w:sz w:val="24"/>
                <w:lang w:bidi="ar"/>
              </w:rPr>
              <w:t>2022</w:t>
            </w:r>
          </w:p>
        </w:tc>
        <w:tc>
          <w:tcPr>
            <w:tcW w:w="5838" w:type="dxa"/>
            <w:vAlign w:val="center"/>
          </w:tcPr>
          <w:p w14:paraId="31695D74">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center"/>
              <w:rPr>
                <w:rFonts w:hint="eastAsia" w:ascii="仿宋_GB2312" w:hAnsi="仿宋_GB2312" w:eastAsia="仿宋_GB2312" w:cs="仿宋_GB2312"/>
                <w:kern w:val="0"/>
                <w:sz w:val="24"/>
                <w:lang w:bidi="ar"/>
              </w:rPr>
            </w:pPr>
            <w:r>
              <w:rPr>
                <w:rFonts w:hint="eastAsia" w:ascii="仿宋_GB2312" w:hAnsi="仿宋_GB2312" w:eastAsia="仿宋_GB2312" w:cs="仿宋_GB2312"/>
                <w:kern w:val="0"/>
                <w:sz w:val="24"/>
                <w:lang w:bidi="ar"/>
              </w:rPr>
              <w:t>普惠托育体系建设真抓实干成效明显地区</w:t>
            </w:r>
          </w:p>
        </w:tc>
        <w:tc>
          <w:tcPr>
            <w:tcW w:w="1062" w:type="dxa"/>
            <w:vAlign w:val="center"/>
          </w:tcPr>
          <w:p w14:paraId="32330654">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center"/>
              <w:rPr>
                <w:rFonts w:cs="Times New Roman"/>
                <w:kern w:val="0"/>
                <w:sz w:val="24"/>
                <w:lang w:bidi="ar"/>
              </w:rPr>
            </w:pPr>
            <w:r>
              <w:rPr>
                <w:rFonts w:cs="Times New Roman"/>
                <w:kern w:val="0"/>
                <w:sz w:val="24"/>
                <w:lang w:bidi="ar"/>
              </w:rPr>
              <w:t>省级</w:t>
            </w:r>
          </w:p>
        </w:tc>
      </w:tr>
      <w:tr w14:paraId="030A99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80" w:type="dxa"/>
            <w:vAlign w:val="center"/>
          </w:tcPr>
          <w:p w14:paraId="49C936FB">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center"/>
              <w:rPr>
                <w:rFonts w:cs="Times New Roman"/>
                <w:kern w:val="0"/>
                <w:sz w:val="24"/>
                <w:lang w:bidi="ar"/>
              </w:rPr>
            </w:pPr>
            <w:r>
              <w:rPr>
                <w:rFonts w:cs="Times New Roman"/>
                <w:kern w:val="0"/>
                <w:sz w:val="24"/>
                <w:lang w:bidi="ar"/>
              </w:rPr>
              <w:t>2022</w:t>
            </w:r>
          </w:p>
        </w:tc>
        <w:tc>
          <w:tcPr>
            <w:tcW w:w="5838" w:type="dxa"/>
            <w:vAlign w:val="center"/>
          </w:tcPr>
          <w:p w14:paraId="474F1027">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center"/>
              <w:rPr>
                <w:rFonts w:hint="eastAsia" w:ascii="仿宋_GB2312" w:hAnsi="仿宋_GB2312" w:eastAsia="仿宋_GB2312" w:cs="仿宋_GB2312"/>
                <w:kern w:val="0"/>
                <w:sz w:val="24"/>
                <w:lang w:bidi="ar"/>
              </w:rPr>
            </w:pPr>
            <w:r>
              <w:rPr>
                <w:rFonts w:hint="eastAsia" w:ascii="仿宋_GB2312" w:hAnsi="仿宋_GB2312" w:eastAsia="仿宋_GB2312" w:cs="仿宋_GB2312"/>
                <w:kern w:val="0"/>
                <w:sz w:val="24"/>
                <w:lang w:bidi="ar"/>
              </w:rPr>
              <w:t>文化产业和旅游产业真抓实干成效明显地区</w:t>
            </w:r>
          </w:p>
        </w:tc>
        <w:tc>
          <w:tcPr>
            <w:tcW w:w="1062" w:type="dxa"/>
            <w:vAlign w:val="center"/>
          </w:tcPr>
          <w:p w14:paraId="3F2B8142">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center"/>
              <w:rPr>
                <w:rFonts w:cs="Times New Roman"/>
                <w:kern w:val="0"/>
                <w:sz w:val="24"/>
                <w:lang w:bidi="ar"/>
              </w:rPr>
            </w:pPr>
            <w:r>
              <w:rPr>
                <w:rFonts w:cs="Times New Roman"/>
                <w:kern w:val="0"/>
                <w:sz w:val="24"/>
                <w:lang w:bidi="ar"/>
              </w:rPr>
              <w:t>省级</w:t>
            </w:r>
          </w:p>
        </w:tc>
      </w:tr>
      <w:tr w14:paraId="5AECA4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80" w:type="dxa"/>
            <w:vAlign w:val="center"/>
          </w:tcPr>
          <w:p w14:paraId="48B6F78A">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center"/>
              <w:rPr>
                <w:rFonts w:cs="Times New Roman"/>
                <w:kern w:val="0"/>
                <w:sz w:val="24"/>
                <w:lang w:bidi="ar"/>
              </w:rPr>
            </w:pPr>
            <w:r>
              <w:rPr>
                <w:rFonts w:cs="Times New Roman"/>
                <w:kern w:val="0"/>
                <w:sz w:val="24"/>
                <w:lang w:bidi="ar"/>
              </w:rPr>
              <w:t>2022</w:t>
            </w:r>
          </w:p>
        </w:tc>
        <w:tc>
          <w:tcPr>
            <w:tcW w:w="5838" w:type="dxa"/>
            <w:vAlign w:val="center"/>
          </w:tcPr>
          <w:p w14:paraId="2E43339E">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center"/>
              <w:rPr>
                <w:rFonts w:hint="eastAsia" w:ascii="仿宋_GB2312" w:hAnsi="仿宋_GB2312" w:eastAsia="仿宋_GB2312" w:cs="仿宋_GB2312"/>
                <w:kern w:val="0"/>
                <w:sz w:val="24"/>
                <w:lang w:bidi="ar"/>
              </w:rPr>
            </w:pPr>
            <w:r>
              <w:rPr>
                <w:rFonts w:hint="eastAsia" w:ascii="仿宋_GB2312" w:hAnsi="仿宋_GB2312" w:eastAsia="仿宋_GB2312" w:cs="仿宋_GB2312"/>
                <w:kern w:val="0"/>
                <w:sz w:val="24"/>
                <w:lang w:bidi="ar"/>
              </w:rPr>
              <w:t>高标准农田建设真抓实干成效明显地区</w:t>
            </w:r>
          </w:p>
        </w:tc>
        <w:tc>
          <w:tcPr>
            <w:tcW w:w="1062" w:type="dxa"/>
            <w:vAlign w:val="center"/>
          </w:tcPr>
          <w:p w14:paraId="631FEDA4">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center"/>
              <w:rPr>
                <w:rFonts w:cs="Times New Roman"/>
                <w:kern w:val="0"/>
                <w:sz w:val="24"/>
                <w:lang w:bidi="ar"/>
              </w:rPr>
            </w:pPr>
            <w:r>
              <w:rPr>
                <w:rFonts w:cs="Times New Roman"/>
                <w:kern w:val="0"/>
                <w:sz w:val="24"/>
                <w:lang w:bidi="ar"/>
              </w:rPr>
              <w:t>省级</w:t>
            </w:r>
          </w:p>
        </w:tc>
      </w:tr>
      <w:tr w14:paraId="51303F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80" w:type="dxa"/>
            <w:vAlign w:val="center"/>
          </w:tcPr>
          <w:p w14:paraId="435FD554">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center"/>
              <w:rPr>
                <w:rFonts w:cs="Times New Roman"/>
                <w:kern w:val="0"/>
                <w:sz w:val="24"/>
                <w:lang w:bidi="ar"/>
              </w:rPr>
            </w:pPr>
            <w:r>
              <w:rPr>
                <w:rFonts w:cs="Times New Roman"/>
                <w:kern w:val="0"/>
                <w:sz w:val="24"/>
                <w:lang w:bidi="ar"/>
              </w:rPr>
              <w:t>2022</w:t>
            </w:r>
          </w:p>
        </w:tc>
        <w:tc>
          <w:tcPr>
            <w:tcW w:w="5838" w:type="dxa"/>
            <w:vAlign w:val="center"/>
          </w:tcPr>
          <w:p w14:paraId="4E87E296">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center"/>
              <w:rPr>
                <w:rFonts w:hint="eastAsia" w:ascii="仿宋_GB2312" w:hAnsi="仿宋_GB2312" w:eastAsia="仿宋_GB2312" w:cs="仿宋_GB2312"/>
                <w:kern w:val="0"/>
                <w:sz w:val="24"/>
                <w:lang w:bidi="ar"/>
              </w:rPr>
            </w:pPr>
            <w:r>
              <w:rPr>
                <w:rFonts w:hint="eastAsia" w:ascii="仿宋_GB2312" w:hAnsi="仿宋_GB2312" w:eastAsia="仿宋_GB2312" w:cs="仿宋_GB2312"/>
                <w:kern w:val="0"/>
                <w:sz w:val="24"/>
                <w:lang w:bidi="ar"/>
              </w:rPr>
              <w:t>职业教育改革发展成效</w:t>
            </w:r>
            <w:r>
              <w:rPr>
                <w:rFonts w:hint="eastAsia" w:ascii="仿宋_GB2312" w:hAnsi="仿宋_GB2312" w:eastAsia="仿宋_GB2312" w:cs="仿宋_GB2312"/>
                <w:kern w:val="0"/>
                <w:sz w:val="24"/>
                <w:highlight w:val="none"/>
                <w:lang w:bidi="ar"/>
              </w:rPr>
              <w:t>明显地区</w:t>
            </w:r>
          </w:p>
        </w:tc>
        <w:tc>
          <w:tcPr>
            <w:tcW w:w="1062" w:type="dxa"/>
            <w:vAlign w:val="center"/>
          </w:tcPr>
          <w:p w14:paraId="4E0C83FC">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center"/>
              <w:rPr>
                <w:rFonts w:cs="Times New Roman"/>
                <w:kern w:val="0"/>
                <w:sz w:val="24"/>
                <w:lang w:bidi="ar"/>
              </w:rPr>
            </w:pPr>
            <w:r>
              <w:rPr>
                <w:rFonts w:cs="Times New Roman"/>
                <w:kern w:val="0"/>
                <w:sz w:val="24"/>
                <w:lang w:bidi="ar"/>
              </w:rPr>
              <w:t>省级</w:t>
            </w:r>
          </w:p>
        </w:tc>
      </w:tr>
      <w:tr w14:paraId="0E1C0D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80" w:type="dxa"/>
            <w:vAlign w:val="center"/>
          </w:tcPr>
          <w:p w14:paraId="42F47904">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center"/>
              <w:rPr>
                <w:rFonts w:cs="Times New Roman"/>
                <w:kern w:val="0"/>
                <w:sz w:val="24"/>
                <w:lang w:bidi="ar"/>
              </w:rPr>
            </w:pPr>
            <w:r>
              <w:rPr>
                <w:rFonts w:cs="Times New Roman"/>
                <w:kern w:val="0"/>
                <w:sz w:val="24"/>
                <w:lang w:bidi="ar"/>
              </w:rPr>
              <w:t>2022</w:t>
            </w:r>
          </w:p>
        </w:tc>
        <w:tc>
          <w:tcPr>
            <w:tcW w:w="5838" w:type="dxa"/>
            <w:vAlign w:val="center"/>
          </w:tcPr>
          <w:p w14:paraId="37D355DC">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center"/>
              <w:rPr>
                <w:rFonts w:hint="eastAsia" w:ascii="仿宋_GB2312" w:hAnsi="仿宋_GB2312" w:eastAsia="仿宋_GB2312" w:cs="仿宋_GB2312"/>
                <w:kern w:val="0"/>
                <w:sz w:val="24"/>
                <w:lang w:bidi="ar"/>
              </w:rPr>
            </w:pPr>
            <w:r>
              <w:rPr>
                <w:rFonts w:hint="eastAsia" w:ascii="仿宋_GB2312" w:hAnsi="仿宋_GB2312" w:eastAsia="仿宋_GB2312" w:cs="仿宋_GB2312"/>
                <w:kern w:val="0"/>
                <w:sz w:val="24"/>
                <w:lang w:bidi="ar"/>
              </w:rPr>
              <w:t>生态环保真抓实干成效明显地区</w:t>
            </w:r>
          </w:p>
        </w:tc>
        <w:tc>
          <w:tcPr>
            <w:tcW w:w="1062" w:type="dxa"/>
            <w:vAlign w:val="center"/>
          </w:tcPr>
          <w:p w14:paraId="4191B6BB">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center"/>
              <w:rPr>
                <w:rFonts w:cs="Times New Roman"/>
                <w:kern w:val="0"/>
                <w:sz w:val="24"/>
                <w:lang w:bidi="ar"/>
              </w:rPr>
            </w:pPr>
            <w:r>
              <w:rPr>
                <w:rFonts w:cs="Times New Roman"/>
                <w:kern w:val="0"/>
                <w:sz w:val="24"/>
                <w:lang w:bidi="ar"/>
              </w:rPr>
              <w:t>省级</w:t>
            </w:r>
          </w:p>
        </w:tc>
      </w:tr>
      <w:tr w14:paraId="113B81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80" w:type="dxa"/>
            <w:vAlign w:val="center"/>
          </w:tcPr>
          <w:p w14:paraId="6544CB2F">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center"/>
              <w:rPr>
                <w:rFonts w:cs="Times New Roman"/>
                <w:kern w:val="0"/>
                <w:sz w:val="24"/>
                <w:lang w:bidi="ar"/>
              </w:rPr>
            </w:pPr>
            <w:r>
              <w:rPr>
                <w:rFonts w:cs="Times New Roman"/>
                <w:kern w:val="0"/>
                <w:sz w:val="24"/>
                <w:lang w:bidi="ar"/>
              </w:rPr>
              <w:t>2022</w:t>
            </w:r>
          </w:p>
        </w:tc>
        <w:tc>
          <w:tcPr>
            <w:tcW w:w="5838" w:type="dxa"/>
            <w:vAlign w:val="center"/>
          </w:tcPr>
          <w:p w14:paraId="1B33AC28">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center"/>
              <w:rPr>
                <w:rFonts w:hint="eastAsia" w:ascii="仿宋_GB2312" w:hAnsi="仿宋_GB2312" w:eastAsia="仿宋_GB2312" w:cs="仿宋_GB2312"/>
                <w:kern w:val="0"/>
                <w:sz w:val="24"/>
                <w:lang w:bidi="ar"/>
              </w:rPr>
            </w:pPr>
            <w:r>
              <w:rPr>
                <w:rFonts w:hint="eastAsia" w:ascii="仿宋_GB2312" w:hAnsi="仿宋_GB2312" w:eastAsia="仿宋_GB2312" w:cs="仿宋_GB2312"/>
                <w:kern w:val="0"/>
                <w:sz w:val="24"/>
                <w:lang w:bidi="ar"/>
              </w:rPr>
              <w:t>促进乡村振兴和改善人居环境真抓实干成效明显地区</w:t>
            </w:r>
          </w:p>
        </w:tc>
        <w:tc>
          <w:tcPr>
            <w:tcW w:w="1062" w:type="dxa"/>
            <w:vAlign w:val="center"/>
          </w:tcPr>
          <w:p w14:paraId="28604B75">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center"/>
              <w:rPr>
                <w:rFonts w:cs="Times New Roman"/>
                <w:kern w:val="0"/>
                <w:sz w:val="24"/>
                <w:lang w:bidi="ar"/>
              </w:rPr>
            </w:pPr>
            <w:r>
              <w:rPr>
                <w:rFonts w:cs="Times New Roman"/>
                <w:kern w:val="0"/>
                <w:sz w:val="24"/>
                <w:lang w:bidi="ar"/>
              </w:rPr>
              <w:t>省级</w:t>
            </w:r>
          </w:p>
        </w:tc>
      </w:tr>
      <w:tr w14:paraId="4C88BB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80" w:type="dxa"/>
            <w:vAlign w:val="center"/>
          </w:tcPr>
          <w:p w14:paraId="32E6B57A">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center"/>
              <w:rPr>
                <w:rFonts w:cs="Times New Roman"/>
                <w:kern w:val="0"/>
                <w:sz w:val="24"/>
                <w:lang w:bidi="ar"/>
              </w:rPr>
            </w:pPr>
            <w:r>
              <w:rPr>
                <w:rFonts w:cs="Times New Roman"/>
                <w:kern w:val="0"/>
                <w:sz w:val="24"/>
                <w:lang w:bidi="ar"/>
              </w:rPr>
              <w:t>2022</w:t>
            </w:r>
          </w:p>
        </w:tc>
        <w:tc>
          <w:tcPr>
            <w:tcW w:w="5838" w:type="dxa"/>
            <w:vAlign w:val="center"/>
          </w:tcPr>
          <w:p w14:paraId="57CCD153">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center"/>
              <w:rPr>
                <w:rFonts w:hint="eastAsia" w:ascii="仿宋_GB2312" w:hAnsi="仿宋_GB2312" w:eastAsia="仿宋_GB2312" w:cs="仿宋_GB2312"/>
                <w:kern w:val="0"/>
                <w:sz w:val="24"/>
                <w:lang w:bidi="ar"/>
              </w:rPr>
            </w:pPr>
            <w:r>
              <w:rPr>
                <w:rFonts w:hint="eastAsia" w:ascii="仿宋_GB2312" w:hAnsi="仿宋_GB2312" w:eastAsia="仿宋_GB2312" w:cs="仿宋_GB2312"/>
                <w:kern w:val="0"/>
                <w:sz w:val="24"/>
                <w:lang w:bidi="ar"/>
              </w:rPr>
              <w:t>重大决策部署督查落实真抓实干成效明显地区</w:t>
            </w:r>
          </w:p>
        </w:tc>
        <w:tc>
          <w:tcPr>
            <w:tcW w:w="1062" w:type="dxa"/>
            <w:vAlign w:val="center"/>
          </w:tcPr>
          <w:p w14:paraId="67874C58">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center"/>
              <w:rPr>
                <w:rFonts w:cs="Times New Roman"/>
                <w:kern w:val="0"/>
                <w:sz w:val="24"/>
                <w:lang w:bidi="ar"/>
              </w:rPr>
            </w:pPr>
            <w:r>
              <w:rPr>
                <w:rFonts w:cs="Times New Roman"/>
                <w:kern w:val="0"/>
                <w:sz w:val="24"/>
                <w:lang w:bidi="ar"/>
              </w:rPr>
              <w:t>省级</w:t>
            </w:r>
          </w:p>
        </w:tc>
      </w:tr>
      <w:tr w14:paraId="7A68E2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80" w:type="dxa"/>
            <w:vAlign w:val="center"/>
          </w:tcPr>
          <w:p w14:paraId="347E2325">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center"/>
              <w:rPr>
                <w:rFonts w:eastAsia="方正仿宋_GBK" w:cs="Times New Roman"/>
                <w:kern w:val="0"/>
                <w:sz w:val="24"/>
                <w:lang w:bidi="ar"/>
              </w:rPr>
            </w:pPr>
            <w:r>
              <w:rPr>
                <w:rFonts w:cs="Times New Roman"/>
                <w:kern w:val="0"/>
                <w:sz w:val="24"/>
                <w:lang w:bidi="ar"/>
              </w:rPr>
              <w:t>2021</w:t>
            </w:r>
          </w:p>
        </w:tc>
        <w:tc>
          <w:tcPr>
            <w:tcW w:w="5838" w:type="dxa"/>
            <w:vAlign w:val="center"/>
          </w:tcPr>
          <w:p w14:paraId="66170859">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center"/>
              <w:rPr>
                <w:rFonts w:hint="eastAsia" w:ascii="仿宋_GB2312" w:hAnsi="仿宋_GB2312" w:eastAsia="仿宋_GB2312" w:cs="仿宋_GB2312"/>
                <w:kern w:val="0"/>
                <w:sz w:val="24"/>
                <w:lang w:bidi="ar"/>
              </w:rPr>
            </w:pPr>
            <w:r>
              <w:rPr>
                <w:rFonts w:hint="eastAsia" w:ascii="仿宋_GB2312" w:hAnsi="仿宋_GB2312" w:eastAsia="仿宋_GB2312" w:cs="仿宋_GB2312"/>
                <w:kern w:val="0"/>
                <w:sz w:val="24"/>
                <w:lang w:bidi="ar"/>
              </w:rPr>
              <w:t>江苏省人才发展现代化建设试点地区</w:t>
            </w:r>
          </w:p>
        </w:tc>
        <w:tc>
          <w:tcPr>
            <w:tcW w:w="1062" w:type="dxa"/>
            <w:vAlign w:val="center"/>
          </w:tcPr>
          <w:p w14:paraId="1CA82A3B">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center"/>
              <w:rPr>
                <w:rFonts w:cs="Times New Roman"/>
                <w:kern w:val="0"/>
                <w:sz w:val="24"/>
                <w:lang w:bidi="ar"/>
              </w:rPr>
            </w:pPr>
            <w:r>
              <w:rPr>
                <w:rFonts w:cs="Times New Roman"/>
                <w:kern w:val="0"/>
                <w:sz w:val="24"/>
                <w:lang w:bidi="ar"/>
              </w:rPr>
              <w:t>省级</w:t>
            </w:r>
          </w:p>
        </w:tc>
      </w:tr>
      <w:tr w14:paraId="757475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80" w:type="dxa"/>
            <w:vAlign w:val="center"/>
          </w:tcPr>
          <w:p w14:paraId="24C5B313">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center"/>
              <w:rPr>
                <w:rFonts w:cs="Times New Roman"/>
                <w:kern w:val="0"/>
                <w:sz w:val="24"/>
                <w:lang w:bidi="ar"/>
              </w:rPr>
            </w:pPr>
            <w:r>
              <w:rPr>
                <w:rFonts w:cs="Times New Roman"/>
                <w:kern w:val="0"/>
                <w:sz w:val="24"/>
                <w:lang w:bidi="ar"/>
              </w:rPr>
              <w:t>2021</w:t>
            </w:r>
          </w:p>
        </w:tc>
        <w:tc>
          <w:tcPr>
            <w:tcW w:w="5838" w:type="dxa"/>
            <w:vAlign w:val="center"/>
          </w:tcPr>
          <w:p w14:paraId="4F73957A">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center"/>
              <w:rPr>
                <w:rFonts w:hint="eastAsia" w:ascii="仿宋_GB2312" w:hAnsi="仿宋_GB2312" w:eastAsia="仿宋_GB2312" w:cs="仿宋_GB2312"/>
                <w:kern w:val="0"/>
                <w:sz w:val="24"/>
                <w:lang w:bidi="ar"/>
              </w:rPr>
            </w:pPr>
            <w:r>
              <w:rPr>
                <w:rFonts w:hint="eastAsia" w:ascii="仿宋_GB2312" w:hAnsi="仿宋_GB2312" w:eastAsia="仿宋_GB2312" w:cs="仿宋_GB2312"/>
                <w:kern w:val="0"/>
                <w:sz w:val="24"/>
                <w:lang w:bidi="ar"/>
              </w:rPr>
              <w:t>江苏省绿色建筑示范区</w:t>
            </w:r>
          </w:p>
        </w:tc>
        <w:tc>
          <w:tcPr>
            <w:tcW w:w="1062" w:type="dxa"/>
            <w:vAlign w:val="center"/>
          </w:tcPr>
          <w:p w14:paraId="203A3E4B">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center"/>
              <w:rPr>
                <w:rFonts w:cs="Times New Roman"/>
                <w:kern w:val="0"/>
                <w:sz w:val="24"/>
                <w:lang w:bidi="ar"/>
              </w:rPr>
            </w:pPr>
            <w:r>
              <w:rPr>
                <w:rFonts w:cs="Times New Roman"/>
                <w:kern w:val="0"/>
                <w:sz w:val="24"/>
                <w:lang w:bidi="ar"/>
              </w:rPr>
              <w:t>省级</w:t>
            </w:r>
          </w:p>
        </w:tc>
      </w:tr>
      <w:tr w14:paraId="298541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80" w:type="dxa"/>
            <w:vAlign w:val="center"/>
          </w:tcPr>
          <w:p w14:paraId="0FDEAA2D">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center"/>
              <w:rPr>
                <w:rFonts w:cs="Times New Roman"/>
                <w:kern w:val="0"/>
                <w:sz w:val="24"/>
                <w:lang w:bidi="ar"/>
              </w:rPr>
            </w:pPr>
            <w:r>
              <w:rPr>
                <w:rFonts w:cs="Times New Roman"/>
                <w:kern w:val="0"/>
                <w:sz w:val="24"/>
                <w:lang w:bidi="ar"/>
              </w:rPr>
              <w:t>2021</w:t>
            </w:r>
          </w:p>
        </w:tc>
        <w:tc>
          <w:tcPr>
            <w:tcW w:w="5838" w:type="dxa"/>
            <w:vAlign w:val="center"/>
          </w:tcPr>
          <w:p w14:paraId="6C333638">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center"/>
              <w:rPr>
                <w:rFonts w:hint="eastAsia" w:ascii="仿宋_GB2312" w:hAnsi="仿宋_GB2312" w:eastAsia="仿宋_GB2312" w:cs="仿宋_GB2312"/>
                <w:kern w:val="0"/>
                <w:sz w:val="24"/>
                <w:lang w:bidi="ar"/>
              </w:rPr>
            </w:pPr>
            <w:r>
              <w:rPr>
                <w:rFonts w:hint="eastAsia" w:ascii="仿宋_GB2312" w:hAnsi="仿宋_GB2312" w:eastAsia="仿宋_GB2312" w:cs="仿宋_GB2312"/>
                <w:kern w:val="0"/>
                <w:sz w:val="24"/>
                <w:lang w:bidi="ar"/>
              </w:rPr>
              <w:t>江苏省食品安全示范区</w:t>
            </w:r>
          </w:p>
        </w:tc>
        <w:tc>
          <w:tcPr>
            <w:tcW w:w="1062" w:type="dxa"/>
            <w:vAlign w:val="center"/>
          </w:tcPr>
          <w:p w14:paraId="03B3F331">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center"/>
              <w:rPr>
                <w:rFonts w:cs="Times New Roman"/>
                <w:kern w:val="0"/>
                <w:sz w:val="24"/>
                <w:lang w:bidi="ar"/>
              </w:rPr>
            </w:pPr>
            <w:r>
              <w:rPr>
                <w:rFonts w:cs="Times New Roman"/>
                <w:kern w:val="0"/>
                <w:sz w:val="24"/>
                <w:lang w:bidi="ar"/>
              </w:rPr>
              <w:t>省级</w:t>
            </w:r>
          </w:p>
        </w:tc>
      </w:tr>
      <w:tr w14:paraId="576A1B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80" w:type="dxa"/>
            <w:vAlign w:val="center"/>
          </w:tcPr>
          <w:p w14:paraId="7822DCF3">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center"/>
              <w:rPr>
                <w:rFonts w:cs="Times New Roman"/>
                <w:kern w:val="0"/>
                <w:sz w:val="24"/>
                <w:lang w:bidi="ar"/>
              </w:rPr>
            </w:pPr>
            <w:r>
              <w:rPr>
                <w:rFonts w:cs="Times New Roman"/>
                <w:kern w:val="0"/>
                <w:sz w:val="24"/>
                <w:lang w:bidi="ar"/>
              </w:rPr>
              <w:t>2021</w:t>
            </w:r>
          </w:p>
        </w:tc>
        <w:tc>
          <w:tcPr>
            <w:tcW w:w="5838" w:type="dxa"/>
            <w:vAlign w:val="center"/>
          </w:tcPr>
          <w:p w14:paraId="6C83428C">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center"/>
              <w:rPr>
                <w:rFonts w:hint="eastAsia" w:ascii="仿宋_GB2312" w:hAnsi="仿宋_GB2312" w:eastAsia="仿宋_GB2312" w:cs="仿宋_GB2312"/>
                <w:kern w:val="0"/>
                <w:sz w:val="24"/>
                <w:lang w:bidi="ar"/>
              </w:rPr>
            </w:pPr>
            <w:r>
              <w:rPr>
                <w:rFonts w:hint="eastAsia" w:ascii="仿宋_GB2312" w:hAnsi="仿宋_GB2312" w:eastAsia="仿宋_GB2312" w:cs="仿宋_GB2312"/>
                <w:kern w:val="0"/>
                <w:sz w:val="24"/>
                <w:lang w:bidi="ar"/>
              </w:rPr>
              <w:t>全省信访工作先进县（市、区）</w:t>
            </w:r>
          </w:p>
        </w:tc>
        <w:tc>
          <w:tcPr>
            <w:tcW w:w="1062" w:type="dxa"/>
            <w:vAlign w:val="center"/>
          </w:tcPr>
          <w:p w14:paraId="029CE0D6">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center"/>
              <w:rPr>
                <w:rFonts w:cs="Times New Roman"/>
                <w:kern w:val="0"/>
                <w:sz w:val="24"/>
                <w:lang w:bidi="ar"/>
              </w:rPr>
            </w:pPr>
            <w:r>
              <w:rPr>
                <w:rFonts w:cs="Times New Roman"/>
                <w:kern w:val="0"/>
                <w:sz w:val="24"/>
                <w:lang w:bidi="ar"/>
              </w:rPr>
              <w:t>省级</w:t>
            </w:r>
          </w:p>
        </w:tc>
      </w:tr>
      <w:tr w14:paraId="16B9D7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80" w:type="dxa"/>
            <w:vAlign w:val="center"/>
          </w:tcPr>
          <w:p w14:paraId="1CACF7D5">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center"/>
              <w:rPr>
                <w:rFonts w:cs="Times New Roman"/>
                <w:kern w:val="0"/>
                <w:sz w:val="24"/>
                <w:lang w:bidi="ar"/>
              </w:rPr>
            </w:pPr>
            <w:r>
              <w:rPr>
                <w:rFonts w:cs="Times New Roman"/>
                <w:kern w:val="0"/>
                <w:sz w:val="24"/>
                <w:lang w:bidi="ar"/>
              </w:rPr>
              <w:t>2021</w:t>
            </w:r>
          </w:p>
        </w:tc>
        <w:tc>
          <w:tcPr>
            <w:tcW w:w="5838" w:type="dxa"/>
            <w:vAlign w:val="center"/>
          </w:tcPr>
          <w:p w14:paraId="32AC6F0F">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center"/>
              <w:rPr>
                <w:rFonts w:hint="eastAsia" w:ascii="仿宋_GB2312" w:hAnsi="仿宋_GB2312" w:eastAsia="仿宋_GB2312" w:cs="仿宋_GB2312"/>
                <w:kern w:val="0"/>
                <w:sz w:val="24"/>
                <w:lang w:bidi="ar"/>
              </w:rPr>
            </w:pPr>
            <w:r>
              <w:rPr>
                <w:rFonts w:hint="eastAsia" w:ascii="仿宋_GB2312" w:hAnsi="仿宋_GB2312" w:eastAsia="仿宋_GB2312" w:cs="仿宋_GB2312"/>
                <w:kern w:val="0"/>
                <w:sz w:val="24"/>
                <w:lang w:bidi="ar"/>
              </w:rPr>
              <w:t>江苏省农业生产全程全面机械化示范县</w:t>
            </w:r>
          </w:p>
        </w:tc>
        <w:tc>
          <w:tcPr>
            <w:tcW w:w="1062" w:type="dxa"/>
            <w:vAlign w:val="center"/>
          </w:tcPr>
          <w:p w14:paraId="1C2D73A2">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center"/>
              <w:rPr>
                <w:rFonts w:cs="Times New Roman"/>
                <w:kern w:val="0"/>
                <w:sz w:val="24"/>
                <w:lang w:bidi="ar"/>
              </w:rPr>
            </w:pPr>
            <w:r>
              <w:rPr>
                <w:rFonts w:cs="Times New Roman"/>
                <w:kern w:val="0"/>
                <w:sz w:val="24"/>
                <w:lang w:bidi="ar"/>
              </w:rPr>
              <w:t>省级</w:t>
            </w:r>
          </w:p>
        </w:tc>
      </w:tr>
      <w:tr w14:paraId="6A66EA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80" w:type="dxa"/>
            <w:vAlign w:val="center"/>
          </w:tcPr>
          <w:p w14:paraId="729BBE42">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center"/>
              <w:rPr>
                <w:rFonts w:cs="Times New Roman"/>
                <w:kern w:val="0"/>
                <w:sz w:val="24"/>
                <w:lang w:bidi="ar"/>
              </w:rPr>
            </w:pPr>
            <w:r>
              <w:rPr>
                <w:rFonts w:cs="Times New Roman"/>
                <w:kern w:val="0"/>
                <w:sz w:val="24"/>
                <w:lang w:bidi="ar"/>
              </w:rPr>
              <w:t>2021</w:t>
            </w:r>
          </w:p>
        </w:tc>
        <w:tc>
          <w:tcPr>
            <w:tcW w:w="5838" w:type="dxa"/>
            <w:vAlign w:val="center"/>
          </w:tcPr>
          <w:p w14:paraId="5BDEDCEA">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center"/>
              <w:rPr>
                <w:rFonts w:hint="eastAsia" w:ascii="仿宋_GB2312" w:hAnsi="仿宋_GB2312" w:eastAsia="仿宋_GB2312" w:cs="仿宋_GB2312"/>
                <w:kern w:val="0"/>
                <w:sz w:val="24"/>
                <w:lang w:bidi="ar"/>
              </w:rPr>
            </w:pPr>
            <w:r>
              <w:rPr>
                <w:rFonts w:hint="eastAsia" w:ascii="仿宋_GB2312" w:hAnsi="仿宋_GB2312" w:eastAsia="仿宋_GB2312" w:cs="仿宋_GB2312"/>
                <w:kern w:val="0"/>
                <w:sz w:val="24"/>
                <w:lang w:bidi="ar"/>
              </w:rPr>
              <w:t>江苏省慢性病综合防控示范区</w:t>
            </w:r>
          </w:p>
        </w:tc>
        <w:tc>
          <w:tcPr>
            <w:tcW w:w="1062" w:type="dxa"/>
            <w:vAlign w:val="center"/>
          </w:tcPr>
          <w:p w14:paraId="0FCDEF6D">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center"/>
              <w:rPr>
                <w:rFonts w:cs="Times New Roman"/>
                <w:kern w:val="0"/>
                <w:sz w:val="24"/>
                <w:lang w:bidi="ar"/>
              </w:rPr>
            </w:pPr>
            <w:r>
              <w:rPr>
                <w:rFonts w:cs="Times New Roman"/>
                <w:kern w:val="0"/>
                <w:sz w:val="24"/>
                <w:lang w:bidi="ar"/>
              </w:rPr>
              <w:t>省级</w:t>
            </w:r>
          </w:p>
        </w:tc>
      </w:tr>
      <w:tr w14:paraId="0C36F1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280" w:type="dxa"/>
            <w:vAlign w:val="center"/>
          </w:tcPr>
          <w:p w14:paraId="092F1E65">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center"/>
              <w:rPr>
                <w:rFonts w:cs="Times New Roman"/>
                <w:kern w:val="0"/>
                <w:sz w:val="24"/>
                <w:lang w:bidi="ar"/>
              </w:rPr>
            </w:pPr>
            <w:r>
              <w:rPr>
                <w:rFonts w:cs="Times New Roman"/>
                <w:kern w:val="0"/>
                <w:sz w:val="24"/>
                <w:lang w:bidi="ar"/>
              </w:rPr>
              <w:t>2021</w:t>
            </w:r>
          </w:p>
        </w:tc>
        <w:tc>
          <w:tcPr>
            <w:tcW w:w="5838" w:type="dxa"/>
            <w:vAlign w:val="center"/>
          </w:tcPr>
          <w:p w14:paraId="6FADB858">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center"/>
              <w:rPr>
                <w:rFonts w:hint="eastAsia" w:ascii="仿宋_GB2312" w:hAnsi="仿宋_GB2312" w:eastAsia="仿宋_GB2312" w:cs="仿宋_GB2312"/>
                <w:kern w:val="0"/>
                <w:sz w:val="24"/>
                <w:lang w:bidi="ar"/>
              </w:rPr>
            </w:pPr>
            <w:r>
              <w:rPr>
                <w:rFonts w:hint="eastAsia" w:ascii="仿宋_GB2312" w:hAnsi="仿宋_GB2312" w:eastAsia="仿宋_GB2312" w:cs="仿宋_GB2312"/>
                <w:kern w:val="0"/>
                <w:sz w:val="24"/>
                <w:lang w:bidi="ar"/>
              </w:rPr>
              <w:t>省级生态文明建设示范区</w:t>
            </w:r>
          </w:p>
        </w:tc>
        <w:tc>
          <w:tcPr>
            <w:tcW w:w="1062" w:type="dxa"/>
            <w:vAlign w:val="center"/>
          </w:tcPr>
          <w:p w14:paraId="7685F5E3">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center"/>
              <w:rPr>
                <w:rFonts w:cs="Times New Roman"/>
                <w:kern w:val="0"/>
                <w:sz w:val="24"/>
                <w:lang w:bidi="ar"/>
              </w:rPr>
            </w:pPr>
            <w:r>
              <w:rPr>
                <w:rFonts w:cs="Times New Roman"/>
                <w:kern w:val="0"/>
                <w:sz w:val="24"/>
                <w:lang w:bidi="ar"/>
              </w:rPr>
              <w:t>省级</w:t>
            </w:r>
          </w:p>
        </w:tc>
      </w:tr>
      <w:tr w14:paraId="47CF38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80" w:type="dxa"/>
            <w:vAlign w:val="center"/>
          </w:tcPr>
          <w:p w14:paraId="32D3660C">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center"/>
              <w:rPr>
                <w:rFonts w:cs="Times New Roman"/>
                <w:kern w:val="0"/>
                <w:sz w:val="24"/>
                <w:lang w:bidi="ar"/>
              </w:rPr>
            </w:pPr>
            <w:r>
              <w:rPr>
                <w:rFonts w:cs="Times New Roman"/>
                <w:kern w:val="0"/>
                <w:sz w:val="24"/>
                <w:lang w:bidi="ar"/>
              </w:rPr>
              <w:t>2021</w:t>
            </w:r>
          </w:p>
        </w:tc>
        <w:tc>
          <w:tcPr>
            <w:tcW w:w="5838" w:type="dxa"/>
            <w:vAlign w:val="center"/>
          </w:tcPr>
          <w:p w14:paraId="72FE9CBE">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center"/>
              <w:rPr>
                <w:rFonts w:hint="eastAsia" w:ascii="仿宋_GB2312" w:hAnsi="仿宋_GB2312" w:eastAsia="仿宋_GB2312" w:cs="仿宋_GB2312"/>
                <w:kern w:val="0"/>
                <w:sz w:val="24"/>
                <w:lang w:bidi="ar"/>
              </w:rPr>
            </w:pPr>
            <w:r>
              <w:rPr>
                <w:rFonts w:hint="eastAsia" w:ascii="仿宋_GB2312" w:hAnsi="仿宋_GB2312" w:eastAsia="仿宋_GB2312" w:cs="仿宋_GB2312"/>
                <w:kern w:val="0"/>
                <w:sz w:val="24"/>
                <w:lang w:bidi="ar"/>
              </w:rPr>
              <w:t>养老保险扩面征收真抓实干成效明显地区</w:t>
            </w:r>
          </w:p>
        </w:tc>
        <w:tc>
          <w:tcPr>
            <w:tcW w:w="1062" w:type="dxa"/>
            <w:vAlign w:val="center"/>
          </w:tcPr>
          <w:p w14:paraId="2CD022AE">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center"/>
              <w:rPr>
                <w:rFonts w:cs="Times New Roman"/>
                <w:kern w:val="0"/>
                <w:sz w:val="24"/>
                <w:lang w:bidi="ar"/>
              </w:rPr>
            </w:pPr>
            <w:r>
              <w:rPr>
                <w:rFonts w:cs="Times New Roman"/>
                <w:kern w:val="0"/>
                <w:sz w:val="24"/>
                <w:lang w:bidi="ar"/>
              </w:rPr>
              <w:t>省级</w:t>
            </w:r>
          </w:p>
        </w:tc>
      </w:tr>
      <w:tr w14:paraId="25DFD8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80" w:type="dxa"/>
            <w:vAlign w:val="center"/>
          </w:tcPr>
          <w:p w14:paraId="73AC6900">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center"/>
              <w:rPr>
                <w:rFonts w:cs="Times New Roman"/>
                <w:kern w:val="0"/>
                <w:sz w:val="24"/>
                <w:lang w:bidi="ar"/>
              </w:rPr>
            </w:pPr>
            <w:r>
              <w:rPr>
                <w:rFonts w:cs="Times New Roman"/>
                <w:kern w:val="0"/>
                <w:sz w:val="24"/>
                <w:lang w:bidi="ar"/>
              </w:rPr>
              <w:t>2021</w:t>
            </w:r>
          </w:p>
        </w:tc>
        <w:tc>
          <w:tcPr>
            <w:tcW w:w="5838" w:type="dxa"/>
            <w:vAlign w:val="center"/>
          </w:tcPr>
          <w:p w14:paraId="384508BB">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center"/>
              <w:rPr>
                <w:rFonts w:hint="eastAsia" w:ascii="仿宋_GB2312" w:hAnsi="仿宋_GB2312" w:eastAsia="仿宋_GB2312" w:cs="仿宋_GB2312"/>
                <w:kern w:val="0"/>
                <w:sz w:val="24"/>
                <w:lang w:bidi="ar"/>
              </w:rPr>
            </w:pPr>
            <w:r>
              <w:rPr>
                <w:rFonts w:hint="eastAsia" w:ascii="仿宋_GB2312" w:hAnsi="仿宋_GB2312" w:eastAsia="仿宋_GB2312" w:cs="仿宋_GB2312"/>
                <w:kern w:val="0"/>
                <w:sz w:val="24"/>
                <w:lang w:bidi="ar"/>
              </w:rPr>
              <w:t>促进外贸优进优出真抓实干成效明显地区</w:t>
            </w:r>
          </w:p>
        </w:tc>
        <w:tc>
          <w:tcPr>
            <w:tcW w:w="1062" w:type="dxa"/>
            <w:vAlign w:val="center"/>
          </w:tcPr>
          <w:p w14:paraId="4B6CBEC8">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center"/>
              <w:rPr>
                <w:rFonts w:cs="Times New Roman"/>
                <w:kern w:val="0"/>
                <w:sz w:val="24"/>
                <w:lang w:bidi="ar"/>
              </w:rPr>
            </w:pPr>
            <w:r>
              <w:rPr>
                <w:rFonts w:cs="Times New Roman"/>
                <w:kern w:val="0"/>
                <w:sz w:val="24"/>
                <w:lang w:bidi="ar"/>
              </w:rPr>
              <w:t>省级</w:t>
            </w:r>
          </w:p>
        </w:tc>
      </w:tr>
      <w:tr w14:paraId="326AF2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80" w:type="dxa"/>
            <w:vAlign w:val="center"/>
          </w:tcPr>
          <w:p w14:paraId="1772F275">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center"/>
              <w:rPr>
                <w:rFonts w:cs="Times New Roman"/>
                <w:kern w:val="0"/>
                <w:sz w:val="24"/>
                <w:lang w:bidi="ar"/>
              </w:rPr>
            </w:pPr>
            <w:r>
              <w:rPr>
                <w:rFonts w:cs="Times New Roman"/>
                <w:kern w:val="0"/>
                <w:sz w:val="24"/>
                <w:lang w:bidi="ar"/>
              </w:rPr>
              <w:t>2021</w:t>
            </w:r>
          </w:p>
        </w:tc>
        <w:tc>
          <w:tcPr>
            <w:tcW w:w="5838" w:type="dxa"/>
            <w:vAlign w:val="center"/>
          </w:tcPr>
          <w:p w14:paraId="2FCC3A23">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center"/>
              <w:rPr>
                <w:rFonts w:hint="eastAsia" w:ascii="仿宋_GB2312" w:hAnsi="仿宋_GB2312" w:eastAsia="仿宋_GB2312" w:cs="仿宋_GB2312"/>
                <w:kern w:val="0"/>
                <w:sz w:val="24"/>
                <w:lang w:bidi="ar"/>
              </w:rPr>
            </w:pPr>
            <w:r>
              <w:rPr>
                <w:rFonts w:hint="eastAsia" w:ascii="仿宋_GB2312" w:hAnsi="仿宋_GB2312" w:eastAsia="仿宋_GB2312" w:cs="仿宋_GB2312"/>
                <w:kern w:val="0"/>
                <w:sz w:val="24"/>
                <w:lang w:bidi="ar"/>
              </w:rPr>
              <w:t>“放管服”改革真抓实干成效明显地区</w:t>
            </w:r>
          </w:p>
        </w:tc>
        <w:tc>
          <w:tcPr>
            <w:tcW w:w="1062" w:type="dxa"/>
            <w:vAlign w:val="center"/>
          </w:tcPr>
          <w:p w14:paraId="48DF1D11">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center"/>
              <w:rPr>
                <w:rFonts w:cs="Times New Roman"/>
                <w:kern w:val="0"/>
                <w:sz w:val="24"/>
                <w:lang w:bidi="ar"/>
              </w:rPr>
            </w:pPr>
            <w:r>
              <w:rPr>
                <w:rFonts w:cs="Times New Roman"/>
                <w:kern w:val="0"/>
                <w:sz w:val="24"/>
                <w:lang w:bidi="ar"/>
              </w:rPr>
              <w:t>省级</w:t>
            </w:r>
          </w:p>
        </w:tc>
      </w:tr>
      <w:tr w14:paraId="49D397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80" w:type="dxa"/>
            <w:vAlign w:val="center"/>
          </w:tcPr>
          <w:p w14:paraId="4BE7580C">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center"/>
              <w:rPr>
                <w:rFonts w:cs="Times New Roman"/>
                <w:kern w:val="0"/>
                <w:sz w:val="24"/>
                <w:lang w:bidi="ar"/>
              </w:rPr>
            </w:pPr>
            <w:r>
              <w:rPr>
                <w:rFonts w:cs="Times New Roman"/>
                <w:kern w:val="0"/>
                <w:sz w:val="24"/>
                <w:lang w:bidi="ar"/>
              </w:rPr>
              <w:t>2021</w:t>
            </w:r>
          </w:p>
        </w:tc>
        <w:tc>
          <w:tcPr>
            <w:tcW w:w="5838" w:type="dxa"/>
            <w:vAlign w:val="center"/>
          </w:tcPr>
          <w:p w14:paraId="05299BE1">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center"/>
              <w:rPr>
                <w:rFonts w:hint="eastAsia" w:ascii="仿宋_GB2312" w:hAnsi="仿宋_GB2312" w:eastAsia="仿宋_GB2312" w:cs="仿宋_GB2312"/>
                <w:kern w:val="0"/>
                <w:sz w:val="24"/>
                <w:lang w:bidi="ar"/>
              </w:rPr>
            </w:pPr>
            <w:r>
              <w:rPr>
                <w:rFonts w:hint="eastAsia" w:ascii="仿宋_GB2312" w:hAnsi="仿宋_GB2312" w:eastAsia="仿宋_GB2312" w:cs="仿宋_GB2312"/>
                <w:kern w:val="0"/>
                <w:sz w:val="24"/>
                <w:lang w:bidi="ar"/>
              </w:rPr>
              <w:t>交通建设真抓实干成效明显地区</w:t>
            </w:r>
          </w:p>
        </w:tc>
        <w:tc>
          <w:tcPr>
            <w:tcW w:w="1062" w:type="dxa"/>
            <w:vAlign w:val="center"/>
          </w:tcPr>
          <w:p w14:paraId="284DC036">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center"/>
              <w:rPr>
                <w:rFonts w:cs="Times New Roman"/>
                <w:kern w:val="0"/>
                <w:sz w:val="24"/>
                <w:lang w:bidi="ar"/>
              </w:rPr>
            </w:pPr>
            <w:r>
              <w:rPr>
                <w:rFonts w:cs="Times New Roman"/>
                <w:kern w:val="0"/>
                <w:sz w:val="24"/>
                <w:lang w:bidi="ar"/>
              </w:rPr>
              <w:t>省级</w:t>
            </w:r>
          </w:p>
        </w:tc>
      </w:tr>
      <w:tr w14:paraId="6A68A6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80" w:type="dxa"/>
            <w:vAlign w:val="center"/>
          </w:tcPr>
          <w:p w14:paraId="5560744F">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center"/>
              <w:rPr>
                <w:rFonts w:cs="Times New Roman"/>
                <w:kern w:val="0"/>
                <w:sz w:val="24"/>
                <w:lang w:bidi="ar"/>
              </w:rPr>
            </w:pPr>
            <w:r>
              <w:rPr>
                <w:rFonts w:cs="Times New Roman"/>
                <w:kern w:val="0"/>
                <w:sz w:val="24"/>
                <w:lang w:bidi="ar"/>
              </w:rPr>
              <w:t>2021-2022</w:t>
            </w:r>
          </w:p>
        </w:tc>
        <w:tc>
          <w:tcPr>
            <w:tcW w:w="5838" w:type="dxa"/>
            <w:vAlign w:val="center"/>
          </w:tcPr>
          <w:p w14:paraId="705AE6E5">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center"/>
              <w:rPr>
                <w:rFonts w:hint="eastAsia" w:ascii="仿宋_GB2312" w:hAnsi="仿宋_GB2312" w:eastAsia="仿宋_GB2312" w:cs="仿宋_GB2312"/>
                <w:kern w:val="0"/>
                <w:sz w:val="24"/>
                <w:lang w:bidi="ar"/>
              </w:rPr>
            </w:pPr>
            <w:r>
              <w:rPr>
                <w:rFonts w:hint="eastAsia" w:ascii="仿宋_GB2312" w:hAnsi="仿宋_GB2312" w:eastAsia="仿宋_GB2312" w:cs="仿宋_GB2312"/>
                <w:kern w:val="0"/>
                <w:sz w:val="24"/>
                <w:lang w:bidi="ar"/>
              </w:rPr>
              <w:t>省级安全发展城市创建工作先进地区</w:t>
            </w:r>
          </w:p>
        </w:tc>
        <w:tc>
          <w:tcPr>
            <w:tcW w:w="1062" w:type="dxa"/>
            <w:vAlign w:val="center"/>
          </w:tcPr>
          <w:p w14:paraId="6A58C41E">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center"/>
              <w:rPr>
                <w:rFonts w:cs="Times New Roman"/>
                <w:kern w:val="0"/>
                <w:sz w:val="24"/>
                <w:lang w:bidi="ar"/>
              </w:rPr>
            </w:pPr>
            <w:r>
              <w:rPr>
                <w:rFonts w:cs="Times New Roman"/>
                <w:kern w:val="0"/>
                <w:sz w:val="24"/>
                <w:lang w:bidi="ar"/>
              </w:rPr>
              <w:t>省级</w:t>
            </w:r>
          </w:p>
        </w:tc>
      </w:tr>
      <w:tr w14:paraId="2690A6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80" w:type="dxa"/>
            <w:vAlign w:val="center"/>
          </w:tcPr>
          <w:p w14:paraId="4BC8D3D8">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center"/>
              <w:rPr>
                <w:rFonts w:cs="Times New Roman"/>
                <w:kern w:val="0"/>
                <w:sz w:val="24"/>
                <w:lang w:bidi="ar"/>
              </w:rPr>
            </w:pPr>
            <w:bookmarkStart w:id="44" w:name="_Toc23291"/>
            <w:bookmarkStart w:id="45" w:name="_Toc21064"/>
            <w:bookmarkStart w:id="46" w:name="_Toc18444"/>
            <w:bookmarkStart w:id="47" w:name="_Toc15391"/>
            <w:bookmarkStart w:id="48" w:name="_Toc23869"/>
            <w:bookmarkStart w:id="49" w:name="_Toc18804"/>
            <w:bookmarkStart w:id="50" w:name="_Toc14642"/>
            <w:bookmarkStart w:id="51" w:name="_Toc24437"/>
            <w:bookmarkStart w:id="52" w:name="_Toc15899"/>
            <w:r>
              <w:rPr>
                <w:rFonts w:cs="Times New Roman"/>
                <w:kern w:val="0"/>
                <w:sz w:val="24"/>
                <w:lang w:bidi="ar"/>
              </w:rPr>
              <w:t>2021</w:t>
            </w:r>
          </w:p>
        </w:tc>
        <w:tc>
          <w:tcPr>
            <w:tcW w:w="5838" w:type="dxa"/>
            <w:vAlign w:val="center"/>
          </w:tcPr>
          <w:p w14:paraId="7273E0A7">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center"/>
              <w:rPr>
                <w:rFonts w:hint="eastAsia" w:ascii="仿宋_GB2312" w:hAnsi="仿宋_GB2312" w:eastAsia="仿宋_GB2312" w:cs="仿宋_GB2312"/>
                <w:kern w:val="0"/>
                <w:sz w:val="24"/>
                <w:lang w:bidi="ar"/>
              </w:rPr>
            </w:pPr>
            <w:r>
              <w:rPr>
                <w:rFonts w:hint="eastAsia" w:ascii="仿宋_GB2312" w:hAnsi="仿宋_GB2312" w:eastAsia="仿宋_GB2312" w:cs="仿宋_GB2312"/>
                <w:kern w:val="0"/>
                <w:sz w:val="24"/>
                <w:lang w:bidi="ar"/>
              </w:rPr>
              <w:t>全省规范越级进京秩序专项整治工作成效显著单位</w:t>
            </w:r>
          </w:p>
        </w:tc>
        <w:tc>
          <w:tcPr>
            <w:tcW w:w="1062" w:type="dxa"/>
            <w:vAlign w:val="center"/>
          </w:tcPr>
          <w:p w14:paraId="627E690B">
            <w:pPr>
              <w:keepNext w:val="0"/>
              <w:keepLines w:val="0"/>
              <w:pageBreakBefore w:val="0"/>
              <w:widowControl/>
              <w:kinsoku/>
              <w:wordWrap/>
              <w:overflowPunct/>
              <w:topLinePunct w:val="0"/>
              <w:autoSpaceDE/>
              <w:autoSpaceDN/>
              <w:bidi w:val="0"/>
              <w:adjustRightInd/>
              <w:snapToGrid/>
              <w:spacing w:line="400" w:lineRule="exact"/>
              <w:ind w:firstLine="0" w:firstLineChars="0"/>
              <w:jc w:val="center"/>
              <w:textAlignment w:val="center"/>
              <w:rPr>
                <w:rFonts w:cs="Times New Roman"/>
                <w:kern w:val="0"/>
                <w:sz w:val="24"/>
                <w:lang w:bidi="ar"/>
              </w:rPr>
            </w:pPr>
            <w:r>
              <w:rPr>
                <w:rFonts w:cs="Times New Roman"/>
                <w:kern w:val="0"/>
                <w:sz w:val="24"/>
                <w:lang w:bidi="ar"/>
              </w:rPr>
              <w:t>省级</w:t>
            </w:r>
          </w:p>
        </w:tc>
      </w:tr>
    </w:tbl>
    <w:p w14:paraId="1660F3CC">
      <w:pPr>
        <w:pStyle w:val="3"/>
      </w:pPr>
      <w:bookmarkStart w:id="53" w:name="_Toc30609"/>
      <w:bookmarkStart w:id="54" w:name="_Toc19955"/>
      <w:bookmarkStart w:id="55" w:name="_Toc13601"/>
      <w:bookmarkStart w:id="56" w:name="_Toc29808"/>
      <w:bookmarkStart w:id="57" w:name="_Toc10993"/>
      <w:r>
        <w:t>第二节  面临形势</w:t>
      </w:r>
      <w:bookmarkEnd w:id="44"/>
      <w:bookmarkEnd w:id="45"/>
      <w:bookmarkEnd w:id="46"/>
      <w:bookmarkEnd w:id="47"/>
      <w:bookmarkEnd w:id="48"/>
      <w:bookmarkEnd w:id="49"/>
      <w:bookmarkEnd w:id="50"/>
      <w:bookmarkEnd w:id="51"/>
      <w:bookmarkEnd w:id="52"/>
      <w:bookmarkEnd w:id="53"/>
      <w:bookmarkEnd w:id="54"/>
      <w:bookmarkEnd w:id="55"/>
      <w:bookmarkEnd w:id="56"/>
      <w:bookmarkEnd w:id="57"/>
    </w:p>
    <w:p w14:paraId="20758BD7">
      <w:pPr>
        <w:rPr>
          <w:rFonts w:hint="eastAsia" w:ascii="仿宋_GB2312" w:hAnsi="仿宋_GB2312" w:eastAsia="仿宋_GB2312" w:cs="仿宋_GB2312"/>
        </w:rPr>
      </w:pPr>
      <w:r>
        <w:rPr>
          <w:rFonts w:hint="eastAsia" w:ascii="楷体_GB2312" w:eastAsia="楷体_GB2312" w:cs="Times New Roman"/>
        </w:rPr>
        <w:t>从国际看，</w:t>
      </w:r>
      <w:r>
        <w:rPr>
          <w:rFonts w:hint="eastAsia" w:ascii="仿宋_GB2312" w:hAnsi="仿宋_GB2312" w:eastAsia="仿宋_GB2312" w:cs="仿宋_GB2312"/>
        </w:rPr>
        <w:t>世界百年变局加速演进，国际力量对比深刻调整。世界经济增长动能不足，全球化和逆全球化激烈交锋，国际经济贸易秩序遭到严重挑战。地缘冲突易发多发，霸权主义和强权政治威胁上升，大国博弈更加复杂激烈，国际合作难度加大。</w:t>
      </w:r>
      <w:r>
        <w:rPr>
          <w:rFonts w:hint="eastAsia" w:ascii="仿宋_GB2312" w:hAnsi="仿宋_GB2312" w:eastAsia="仿宋_GB2312" w:cs="仿宋_GB2312"/>
          <w:lang w:bidi="ar"/>
        </w:rPr>
        <w:t>但世界多极化、经济全球化大势不可逆转。</w:t>
      </w:r>
      <w:r>
        <w:rPr>
          <w:rFonts w:hint="eastAsia" w:ascii="仿宋_GB2312" w:hAnsi="仿宋_GB2312" w:eastAsia="仿宋_GB2312" w:cs="仿宋_GB2312"/>
        </w:rPr>
        <w:t>同时，新一轮科技革命和产业变革加速突破，全球科技创新进入空前密集活跃期，新产业新业态新模式不断涌现。</w:t>
      </w:r>
    </w:p>
    <w:p w14:paraId="58826975">
      <w:r>
        <w:rPr>
          <w:rFonts w:hint="eastAsia" w:ascii="楷体_GB2312" w:eastAsia="楷体_GB2312" w:cs="Times New Roman"/>
        </w:rPr>
        <w:t>从国内看，</w:t>
      </w:r>
      <w:r>
        <w:rPr>
          <w:lang w:bidi="bo-CN"/>
        </w:rPr>
        <w:t>我国发展处于战略机遇和风险挑战并存、不确定难预料因素增多的时期，</w:t>
      </w:r>
      <w:r>
        <w:rPr>
          <w:szCs w:val="32"/>
        </w:rPr>
        <w:t>但我国具备主动运筹国际空间、塑造外部环境的诸多有利因素。</w:t>
      </w:r>
      <w:r>
        <w:rPr>
          <w:lang w:bidi="bo-CN"/>
        </w:rPr>
        <w:t>经济基础稳、优势多、韧性强、潜能大，长期向好的支撑条件和基本趋势没有变，中国特色社会主义制度优势、超大规模市场优势、完整产业体系优势、丰富人才资源优势更加彰显。</w:t>
      </w:r>
      <w:r>
        <w:t>新质生产力正在培育壮大，国内市场主导国民经济循环特征更加明显，一系列稳增长扩投资促消费惠民生的存量政策和增量政策协同发力，支撑高质量发展的积极因素不断积累。</w:t>
      </w:r>
    </w:p>
    <w:p w14:paraId="1E1489BE">
      <w:pPr>
        <w:rPr>
          <w:rFonts w:hint="default" w:ascii="Times New Roman" w:hAnsi="Times New Roman" w:cs="Times New Roman"/>
        </w:rPr>
      </w:pPr>
      <w:r>
        <w:rPr>
          <w:rFonts w:hint="eastAsia" w:ascii="楷体_GB2312" w:eastAsia="楷体_GB2312" w:cs="Times New Roman"/>
        </w:rPr>
        <w:t>从区域看</w:t>
      </w:r>
      <w:r>
        <w:rPr>
          <w:rFonts w:eastAsia="楷体_GB2312"/>
        </w:rPr>
        <w:t>，</w:t>
      </w:r>
      <w:r>
        <w:rPr>
          <w:rFonts w:hint="default" w:ascii="Times New Roman" w:hAnsi="Times New Roman" w:eastAsia="仿宋_GB2312" w:cs="Times New Roman"/>
          <w:kern w:val="0"/>
          <w:lang w:bidi="bo-CN"/>
        </w:rPr>
        <w:t>长三角区域一体化发展纵深推进，上海大都市圈同城化提速。</w:t>
      </w:r>
      <w:r>
        <w:rPr>
          <w:rFonts w:hint="default" w:ascii="Times New Roman" w:hAnsi="Times New Roman" w:eastAsia="仿宋_GB2312" w:cs="Times New Roman"/>
        </w:rPr>
        <w:t>习近平总书记赋予江苏“在推进中国式现代化中走在前、做示范”的重大使命，先后提出“四个走在前”“四个新”“4+1”“四个着力点”等任务要求，为江苏“十五五”时期在高质量发展中展现新作为指明方向。习近平总书记点赞勉励为推进中国式现代化南通新实践指明了方向、明晰了路径。省委赋予南通打造全省高质量发展重要增长极的使命责任，</w:t>
      </w:r>
      <w:r>
        <w:rPr>
          <w:rFonts w:hint="default" w:ascii="Times New Roman" w:hAnsi="Times New Roman" w:eastAsia="仿宋_GB2312" w:cs="Times New Roman"/>
          <w:szCs w:val="32"/>
        </w:rPr>
        <w:t>南通锚定全省高质量发展重要增长极总目标，加快推进长江口产业创新绿色发展协同区、全省海洋产业高质量发展先行区等建设</w:t>
      </w:r>
      <w:r>
        <w:rPr>
          <w:rFonts w:hint="default" w:ascii="Times New Roman" w:hAnsi="Times New Roman" w:eastAsia="仿宋_GB2312" w:cs="Times New Roman"/>
        </w:rPr>
        <w:t>。</w:t>
      </w:r>
    </w:p>
    <w:p w14:paraId="14F50881">
      <w:pPr>
        <w:rPr>
          <w:rFonts w:hint="default" w:ascii="Times New Roman" w:hAnsi="Times New Roman" w:eastAsia="仿宋_GB2312" w:cs="Times New Roman"/>
        </w:rPr>
      </w:pPr>
      <w:r>
        <w:rPr>
          <w:rFonts w:hint="eastAsia" w:ascii="楷体_GB2312" w:eastAsia="楷体_GB2312" w:cs="Times New Roman"/>
        </w:rPr>
        <w:t>从海门自身看</w:t>
      </w:r>
      <w:r>
        <w:rPr>
          <w:rFonts w:hint="eastAsia" w:ascii="仿宋_GB2312" w:hAnsi="仿宋_GB2312" w:eastAsia="仿宋_GB2312" w:cs="仿宋_GB2312"/>
        </w:rPr>
        <w:t>，</w:t>
      </w:r>
      <w:r>
        <w:rPr>
          <w:rFonts w:hint="default" w:ascii="Times New Roman" w:hAnsi="Times New Roman" w:eastAsia="仿宋_GB2312" w:cs="Times New Roman"/>
          <w:szCs w:val="32"/>
        </w:rPr>
        <w:t>经过“十四五”时期的接续奋斗，实体经济根基更加稳固，结构优化、转型升级态势已经形成，</w:t>
      </w:r>
      <w:r>
        <w:rPr>
          <w:rFonts w:hint="default" w:ascii="Times New Roman" w:hAnsi="Times New Roman" w:eastAsia="仿宋_GB2312" w:cs="Times New Roman"/>
        </w:rPr>
        <w:t>拥有产业集群特色明显、园区载体功能齐全、市场腹地空间广阔、教育质量全国领先等优势。特别是随着海太长江隧道、北沿江高铁等重大交通工程建成投用，南通新机场加快推进，海门交通格局将发生根本性重塑，将成为全省唯一同时具备公铁水空四种运输方式且兼备江海河联运的行政单元，放眼全国也屈指可数，给全区发展带来了巨大的历史性机遇。海门作为上海大都市圈重要节点，即将从“上海北”跃升为名副其实的“北上海”，正处于前所未有的发展黄金期，成为备受青睐的投资热土。但也要清醒看到，前进路上存在不少困难和挑战。稳增长任务依然艰巨、区域竞争更加激烈、资源要素更加趋紧、改革开放进入深水区。同时</w:t>
      </w:r>
      <w:r>
        <w:rPr>
          <w:rFonts w:hint="eastAsia" w:cs="Times New Roman"/>
          <w:highlight w:val="none"/>
          <w:lang w:eastAsia="zh-CN"/>
        </w:rPr>
        <w:t>，</w:t>
      </w:r>
      <w:r>
        <w:rPr>
          <w:rFonts w:hint="default" w:ascii="Times New Roman" w:hAnsi="Times New Roman" w:eastAsia="仿宋_GB2312" w:cs="Times New Roman"/>
        </w:rPr>
        <w:t>对标同类型先进地区，海门产业发展能级仍显薄弱，房地产和建筑业深度调整带来的压力依然存在，科技产业创新、人力资本创新、改革集成创新尚处于蓄能期，城乡功能品质、公共服务供给与群众期盼仍有差距，安全生产、社会治理等领域仍有短板。总体而言，“十五五”时期，海门有基础有条件在推动高质量发展、推进中国式现代化新实践中展现海门作为、塑造区域特色，有责任有机遇在落实和服务国家战略中主动作为、积极作为。</w:t>
      </w:r>
      <w:bookmarkStart w:id="58" w:name="_Toc25874"/>
      <w:bookmarkStart w:id="59" w:name="_Toc13487"/>
      <w:bookmarkStart w:id="60" w:name="_Toc32124"/>
      <w:bookmarkStart w:id="61" w:name="_Toc19212"/>
      <w:bookmarkStart w:id="62" w:name="_Toc11655"/>
      <w:bookmarkStart w:id="63" w:name="_Toc19114"/>
      <w:bookmarkStart w:id="64" w:name="_Toc9869"/>
    </w:p>
    <w:p w14:paraId="17540579">
      <w:pPr>
        <w:pStyle w:val="3"/>
      </w:pPr>
      <w:bookmarkStart w:id="65" w:name="_Toc14678"/>
      <w:bookmarkStart w:id="66" w:name="_Toc20292"/>
      <w:bookmarkStart w:id="67" w:name="_Toc5298"/>
      <w:bookmarkStart w:id="68" w:name="_Toc30543"/>
      <w:bookmarkStart w:id="69" w:name="_Toc18461"/>
      <w:bookmarkStart w:id="70" w:name="_Toc24961"/>
      <w:bookmarkStart w:id="71" w:name="_Toc6697"/>
      <w:r>
        <w:t>第三节  阶段特征</w:t>
      </w:r>
      <w:bookmarkEnd w:id="58"/>
      <w:bookmarkEnd w:id="59"/>
      <w:bookmarkEnd w:id="60"/>
      <w:bookmarkEnd w:id="61"/>
      <w:bookmarkEnd w:id="62"/>
      <w:bookmarkEnd w:id="63"/>
      <w:bookmarkEnd w:id="64"/>
      <w:bookmarkEnd w:id="65"/>
      <w:bookmarkEnd w:id="66"/>
      <w:bookmarkEnd w:id="67"/>
      <w:bookmarkEnd w:id="68"/>
      <w:bookmarkEnd w:id="69"/>
      <w:bookmarkEnd w:id="70"/>
      <w:bookmarkEnd w:id="71"/>
    </w:p>
    <w:p w14:paraId="0D62A6D0">
      <w:r>
        <w:rPr>
          <w:rFonts w:hint="eastAsia" w:ascii="楷体_GB2312" w:eastAsia="楷体_GB2312" w:cs="Times New Roman"/>
        </w:rPr>
        <w:t>创新驱动内生增长的关键突破期</w:t>
      </w:r>
      <w:r>
        <w:rPr>
          <w:rFonts w:eastAsia="楷体_GB2312"/>
        </w:rPr>
        <w:t>。</w:t>
      </w:r>
      <w:r>
        <w:t>科技创新引领新质生产力发展的特征更加明显，建筑业、房地产等传统支撑行业进入深度调整期，传统要素制约趋紧，海门新旧动能接续既具备坚实的基础条件，也面临现实的转型需求。“十五五”时期，随着科创项目效益产出、创新平台效能释放，以及传统产业深度转型，海门摆脱传统发展路径、推动新旧动能转换将拥有更大腾挪空间，将是海门打造动能接续有力、项目支撑坚实、集群效应显著的产业强区的关键突破时期。</w:t>
      </w:r>
    </w:p>
    <w:p w14:paraId="1CA6215A">
      <w:r>
        <w:rPr>
          <w:rFonts w:hint="eastAsia" w:ascii="楷体_GB2312" w:eastAsia="楷体_GB2312" w:cs="Times New Roman"/>
        </w:rPr>
        <w:t>经济地理区位格局的质变跃升期</w:t>
      </w:r>
      <w:r>
        <w:rPr>
          <w:rFonts w:eastAsia="楷体_GB2312"/>
        </w:rPr>
        <w:t>。</w:t>
      </w:r>
      <w:r>
        <w:t>“十五五”时期，全区以“1个”空铁枢纽为龙头、“2条”城际铁路为核心、“3个”过江通道为支撑、“两横两纵”高速</w:t>
      </w:r>
      <w:r>
        <w:rPr>
          <w:rFonts w:hint="eastAsia"/>
        </w:rPr>
        <w:t>公路</w:t>
      </w:r>
      <w:r>
        <w:t>为依托的“1234”立体式交通</w:t>
      </w:r>
      <w:r>
        <w:rPr>
          <w:rFonts w:hint="eastAsia"/>
          <w:highlight w:val="none"/>
          <w:lang w:eastAsia="zh-CN"/>
        </w:rPr>
        <w:t>格局</w:t>
      </w:r>
      <w:r>
        <w:t>将加速成型。海门将进入上海半小时通勤圈</w:t>
      </w:r>
      <w:r>
        <w:rPr>
          <w:rFonts w:hint="eastAsia"/>
        </w:rPr>
        <w:t>，</w:t>
      </w:r>
      <w:r>
        <w:t>与苏南城市实现无缝衔接，对外交通格局迎来历史性蝶变，“北上海”“新苏南”的经济地理区位优势更加彰显。</w:t>
      </w:r>
    </w:p>
    <w:p w14:paraId="2C5A3E7B">
      <w:r>
        <w:rPr>
          <w:rFonts w:hint="eastAsia" w:ascii="楷体_GB2312" w:eastAsia="楷体_GB2312" w:cs="Times New Roman"/>
        </w:rPr>
        <w:t>跨江融合对接上海的深化拓展期</w:t>
      </w:r>
      <w:r>
        <w:rPr>
          <w:rFonts w:eastAsia="楷体_GB2312"/>
        </w:rPr>
        <w:t>。</w:t>
      </w:r>
      <w:r>
        <w:t>国家、省区域重大战略纵深推进，对内深化改革和对外扩大制度型开放的耦合效应日益显现。“十五五”时期，海门内外深度联动的开放合作新格局将加快构建，对接上海、融入苏南步伐将不断加快，新型贸易和制度型开放逐步成为主攻方向，拥江而立、向海而强、开放而兴的发展态势更加明显。</w:t>
      </w:r>
    </w:p>
    <w:p w14:paraId="1D1BC4C9">
      <w:r>
        <w:rPr>
          <w:rFonts w:hint="eastAsia" w:ascii="楷体_GB2312" w:eastAsia="楷体_GB2312" w:cs="Times New Roman"/>
        </w:rPr>
        <w:t>现代城市魅力风貌的加速呈现期</w:t>
      </w:r>
      <w:r>
        <w:rPr>
          <w:rFonts w:eastAsia="楷体_GB2312"/>
        </w:rPr>
        <w:t>。</w:t>
      </w:r>
      <w:r>
        <w:t>“十五五”时期是海门正式结束撤市设区过渡期政策的第一个五年发展阶段，是县域经济向城市经济、都市区经济转型的加速期。城市发展从大规模增量扩张阶段转向</w:t>
      </w:r>
      <w:r>
        <w:rPr>
          <w:rFonts w:hint="eastAsia"/>
          <w:highlight w:val="none"/>
          <w:lang w:eastAsia="zh-CN"/>
        </w:rPr>
        <w:t>以</w:t>
      </w:r>
      <w:r>
        <w:t>存量提质增效为主的阶段，推动城市功能完善、品质跃升、精神塑造，更好促进城乡深度融合、共同繁荣，为海门打造更具魅力的滨江临海现代化城区创造有利条件。</w:t>
      </w:r>
    </w:p>
    <w:p w14:paraId="4D590D2A">
      <w:pPr>
        <w:sectPr>
          <w:footerReference r:id="rId13" w:type="default"/>
          <w:pgSz w:w="11906" w:h="16838"/>
          <w:pgMar w:top="1814" w:right="1531" w:bottom="1984" w:left="1531" w:header="510" w:footer="1474" w:gutter="0"/>
          <w:cols w:space="0" w:num="1"/>
          <w:docGrid w:type="lines" w:linePitch="312" w:charSpace="0"/>
        </w:sectPr>
      </w:pPr>
      <w:r>
        <w:rPr>
          <w:rFonts w:hint="eastAsia" w:ascii="楷体_GB2312" w:eastAsia="楷体_GB2312" w:cs="Times New Roman"/>
        </w:rPr>
        <w:t>人民生活优化改善的品质提升期</w:t>
      </w:r>
      <w:r>
        <w:rPr>
          <w:rFonts w:eastAsia="楷体_GB2312"/>
        </w:rPr>
        <w:t>。</w:t>
      </w:r>
      <w:r>
        <w:t>海门公共服务供给体系日益完善、服务设施建设基本覆盖到村，即将进入从大规模硬件投入向精细化服务优化转变的重要阶段。同时，人民群众对美好生活的向往更加多元，人口竞争日趋激烈，对海门提高民生服务供给质量、创新民生服务供给模式、推动民生服务更加公平均衡普惠可及提出更高要求。“十五五”时期，以人民为中心的发展思想将更为牢固，“投资于人”与“投资于物”并重的理念更加深入人心，文化、优质环境和人的职业发展成为更加重要的民生产品。</w:t>
      </w:r>
    </w:p>
    <w:p w14:paraId="6C5ADC4C">
      <w:pPr>
        <w:pStyle w:val="2"/>
        <w:rPr>
          <w:rFonts w:hint="eastAsia" w:ascii="方正小标宋简体" w:hAnsi="方正小标宋简体" w:eastAsia="方正小标宋简体" w:cs="方正小标宋简体"/>
        </w:rPr>
      </w:pPr>
      <w:bookmarkStart w:id="72" w:name="_Toc2669"/>
      <w:bookmarkStart w:id="73" w:name="_Toc7719"/>
      <w:bookmarkStart w:id="74" w:name="_Toc21304"/>
      <w:bookmarkStart w:id="75" w:name="_Toc9620"/>
      <w:bookmarkStart w:id="76" w:name="_Toc24327"/>
      <w:bookmarkStart w:id="77" w:name="_Toc24917"/>
      <w:bookmarkStart w:id="78" w:name="_Toc30405"/>
      <w:bookmarkStart w:id="79" w:name="_Toc26635"/>
      <w:bookmarkStart w:id="80" w:name="_Toc11127"/>
      <w:bookmarkStart w:id="81" w:name="_Toc9298"/>
      <w:bookmarkStart w:id="82" w:name="_Toc10019"/>
      <w:bookmarkStart w:id="83" w:name="_Toc30804"/>
      <w:bookmarkStart w:id="84" w:name="_Toc22768"/>
      <w:bookmarkStart w:id="85" w:name="_Toc4232"/>
      <w:r>
        <w:rPr>
          <w:rFonts w:hint="eastAsia" w:ascii="方正小标宋简体" w:hAnsi="方正小标宋简体" w:eastAsia="方正小标宋简体" w:cs="方正小标宋简体"/>
        </w:rPr>
        <w:t>第二章  奋勇前行  谱写“强富美高”新海门现代化建设新篇章</w:t>
      </w:r>
      <w:bookmarkEnd w:id="72"/>
      <w:bookmarkEnd w:id="73"/>
      <w:bookmarkEnd w:id="74"/>
      <w:bookmarkEnd w:id="75"/>
      <w:bookmarkEnd w:id="76"/>
      <w:bookmarkEnd w:id="77"/>
      <w:bookmarkEnd w:id="78"/>
      <w:bookmarkEnd w:id="79"/>
      <w:bookmarkEnd w:id="80"/>
      <w:bookmarkEnd w:id="81"/>
      <w:bookmarkEnd w:id="82"/>
      <w:bookmarkEnd w:id="83"/>
      <w:bookmarkEnd w:id="84"/>
      <w:bookmarkEnd w:id="85"/>
    </w:p>
    <w:p w14:paraId="74C239DB">
      <w:pPr>
        <w:pStyle w:val="3"/>
      </w:pPr>
      <w:bookmarkStart w:id="86" w:name="_Toc7647"/>
      <w:bookmarkStart w:id="87" w:name="_Toc12037"/>
      <w:bookmarkStart w:id="88" w:name="_Toc17422"/>
      <w:bookmarkStart w:id="89" w:name="_Toc21300"/>
      <w:bookmarkStart w:id="90" w:name="_Toc25680"/>
      <w:bookmarkStart w:id="91" w:name="_Toc29219"/>
      <w:bookmarkStart w:id="92" w:name="_Toc9466"/>
      <w:bookmarkStart w:id="93" w:name="_Toc5578"/>
      <w:bookmarkStart w:id="94" w:name="_Toc1581"/>
      <w:bookmarkStart w:id="95" w:name="_Toc22394"/>
      <w:bookmarkStart w:id="96" w:name="_Toc15422"/>
      <w:bookmarkStart w:id="97" w:name="_Toc15146"/>
      <w:bookmarkStart w:id="98" w:name="_Toc8847"/>
      <w:bookmarkStart w:id="99" w:name="_Toc26999"/>
      <w:r>
        <w:t>第一节  指导思想</w:t>
      </w:r>
      <w:bookmarkEnd w:id="86"/>
      <w:bookmarkEnd w:id="87"/>
      <w:bookmarkEnd w:id="88"/>
      <w:bookmarkEnd w:id="89"/>
      <w:bookmarkEnd w:id="90"/>
      <w:bookmarkEnd w:id="91"/>
      <w:bookmarkEnd w:id="92"/>
      <w:bookmarkEnd w:id="93"/>
      <w:bookmarkEnd w:id="94"/>
      <w:bookmarkEnd w:id="95"/>
      <w:bookmarkEnd w:id="96"/>
      <w:bookmarkEnd w:id="97"/>
      <w:bookmarkEnd w:id="98"/>
      <w:bookmarkEnd w:id="99"/>
    </w:p>
    <w:p w14:paraId="5A327647">
      <w:r>
        <w:t>坚持马克思列宁主义、毛泽东思想、邓小平理论、“三个代表”重要思想、科学发展观，全面贯彻习近平新时代中国特色社会主义思想，深入贯彻党的二十大和二十届历次全会精神，深入落实习近平总书记对江苏工作重要讲话精神，统筹推进“五位一体”总体布局，协调推进“四个全面”战略布局，完整准确全面贯彻新发展理念，深度融入服务构建新发展格局，坚持稳中求进工作总基调，坚持以经济建设为中心，以推动高质量发展为主题，以改革创新为根本动力，以满足人民日益增长的美好生活需要为根本目的，以全面从严治党为根本保障，以“两项工作机制、十二项专项行动、四项重点工作”为抓手，全面提升产业、创新、城市、园区四大能级，持续推动经济实现质的有效提升和量的合理增长，推动人的全面发展、全体人民共同富裕迈出坚实步伐，奋力谱写“强富美高”新海门现代化建设新篇章。</w:t>
      </w:r>
    </w:p>
    <w:p w14:paraId="5CF05509">
      <w:pPr>
        <w:pStyle w:val="3"/>
        <w:rPr>
          <w:rFonts w:eastAsia="楷体_GB2312"/>
        </w:rPr>
      </w:pPr>
      <w:bookmarkStart w:id="100" w:name="_Toc27340"/>
      <w:bookmarkStart w:id="101" w:name="_Toc32613"/>
      <w:bookmarkStart w:id="102" w:name="_Toc15543"/>
      <w:bookmarkStart w:id="103" w:name="_Toc8694"/>
      <w:bookmarkStart w:id="104" w:name="_Toc20433"/>
      <w:bookmarkStart w:id="105" w:name="_Toc16411"/>
      <w:bookmarkStart w:id="106" w:name="_Toc22896"/>
      <w:bookmarkStart w:id="107" w:name="_Toc11875"/>
      <w:bookmarkStart w:id="108" w:name="_Toc13806"/>
      <w:bookmarkStart w:id="109" w:name="_Toc23008"/>
      <w:bookmarkStart w:id="110" w:name="_Toc8920"/>
      <w:bookmarkStart w:id="111" w:name="_Toc22036"/>
      <w:bookmarkStart w:id="112" w:name="_Toc3414"/>
      <w:bookmarkStart w:id="113" w:name="_Toc16209"/>
      <w:r>
        <w:t xml:space="preserve">第二节  </w:t>
      </w:r>
      <w:bookmarkEnd w:id="100"/>
      <w:bookmarkEnd w:id="101"/>
      <w:bookmarkEnd w:id="102"/>
      <w:bookmarkEnd w:id="103"/>
      <w:bookmarkEnd w:id="104"/>
      <w:bookmarkEnd w:id="105"/>
      <w:bookmarkEnd w:id="106"/>
      <w:bookmarkEnd w:id="107"/>
      <w:bookmarkEnd w:id="108"/>
      <w:bookmarkEnd w:id="109"/>
      <w:r>
        <w:t>战略路径</w:t>
      </w:r>
      <w:bookmarkEnd w:id="110"/>
      <w:bookmarkEnd w:id="111"/>
      <w:bookmarkEnd w:id="112"/>
      <w:bookmarkEnd w:id="113"/>
    </w:p>
    <w:p w14:paraId="0AFB32E8">
      <w:pPr>
        <w:bidi w:val="0"/>
      </w:pPr>
      <w:r>
        <w:t>“十五五”时期，要统筹落实国家、省、市战略部署和工作要求，坚持党的全面领导，坚持人民至上，坚持高质量发展，坚持全面深化改革，坚持有效市场和有为政府相结合，坚持统筹发展和安全，着眼于海门发展实际，遵循以下原则：</w:t>
      </w:r>
    </w:p>
    <w:p w14:paraId="61DCB2B0">
      <w:pPr>
        <w:bidi w:val="0"/>
      </w:pPr>
      <w:bookmarkStart w:id="114" w:name="_Toc1845"/>
      <w:r>
        <w:t>——</w:t>
      </w:r>
      <w:r>
        <w:rPr>
          <w:rFonts w:hint="eastAsia" w:ascii="楷体_GB2312" w:eastAsia="楷体_GB2312" w:cs="Times New Roman"/>
        </w:rPr>
        <w:t>坚持产业强区、创新赋能。</w:t>
      </w:r>
      <w:r>
        <w:t>坚持把大抓招商作为海门高质量发展的根本抓手、把服务企业作为增创优势的重中之重。推动科技创新和产业创新深度融合，释放创新平台转化效能、科创项目产出效益和新型要素配置效率。统筹推进传统产业焕新、新兴产业壮大和未来产业破题，</w:t>
      </w:r>
      <w:bookmarkEnd w:id="114"/>
      <w:r>
        <w:t>塑造海洋经济、枢纽经济等新增长点，构筑新质生产力新优势。</w:t>
      </w:r>
    </w:p>
    <w:p w14:paraId="6AC003EB">
      <w:bookmarkStart w:id="115" w:name="_Toc1345"/>
      <w:r>
        <w:rPr>
          <w:rFonts w:eastAsia="楷体_GB2312"/>
        </w:rPr>
        <w:t>——</w:t>
      </w:r>
      <w:r>
        <w:rPr>
          <w:rFonts w:hint="eastAsia" w:ascii="楷体_GB2312" w:eastAsia="楷体_GB2312" w:cs="Times New Roman"/>
        </w:rPr>
        <w:t>坚持融合兴区</w:t>
      </w:r>
      <w:bookmarkEnd w:id="115"/>
      <w:r>
        <w:rPr>
          <w:rFonts w:hint="eastAsia" w:ascii="楷体_GB2312" w:eastAsia="楷体_GB2312" w:cs="Times New Roman"/>
        </w:rPr>
        <w:t>、江海联动</w:t>
      </w:r>
      <w:r>
        <w:t>。坚持把跨江向海作为决定海门未来的战略引领。积极策应南通“长江口产业创新绿色发展协同区”“全省海洋产业高质量发展先行区”建设，强化海门江海资源优势、区位交通优势、产业集聚优势和营商环境优势，全方位融入上海大都市圈发展，更大力度向海图强，打造上海以北产业项目、高端资源落户的重要目的地，全力构筑江海联动、江强海兴新格局。</w:t>
      </w:r>
    </w:p>
    <w:p w14:paraId="6363437B">
      <w:r>
        <w:rPr>
          <w:rStyle w:val="28"/>
          <w:rFonts w:eastAsia="楷体_GB2312"/>
        </w:rPr>
        <w:t>——</w:t>
      </w:r>
      <w:r>
        <w:rPr>
          <w:rFonts w:hint="eastAsia" w:ascii="楷体_GB2312" w:eastAsia="楷体_GB2312" w:cs="Times New Roman"/>
        </w:rPr>
        <w:t>坚持改革活区、扩大开放</w:t>
      </w:r>
      <w:r>
        <w:t>。锚定党的二十届三中全会改革部署目标，更大力度统筹推进深层次改革和高水平开放。强化改革系统集成、协同高效，创新资产资源资金盘活路径，积极争取一批市级以上政策、资金和试点、示范。推动开放型经济高质量发展，加快培育国际合作和竞争新优势。</w:t>
      </w:r>
    </w:p>
    <w:p w14:paraId="7220C236">
      <w:r>
        <w:rPr>
          <w:rStyle w:val="28"/>
          <w:rFonts w:eastAsia="楷体_GB2312"/>
        </w:rPr>
        <w:t>——</w:t>
      </w:r>
      <w:r>
        <w:rPr>
          <w:rFonts w:hint="eastAsia" w:ascii="楷体_GB2312" w:eastAsia="楷体_GB2312" w:cs="Times New Roman"/>
        </w:rPr>
        <w:t>坚持生态润区，绿色发展</w:t>
      </w:r>
      <w:r>
        <w:rPr>
          <w:rStyle w:val="28"/>
          <w:rFonts w:eastAsia="楷体_GB2312"/>
        </w:rPr>
        <w:t>。</w:t>
      </w:r>
      <w:r>
        <w:t>锚定2030年前碳达峰目标，以美丽海门建设为统领，充分彰显滨江临海自然资源魅力，加快经济社会发展全面绿色转型，全力强化生态自觉、筑牢生态屏障、增进环境福祉，构建江海河湖联动、人与自然和谐共生的美丽画卷，展现绿色发展之美、自然生态之美、城乡宜居之美。</w:t>
      </w:r>
    </w:p>
    <w:p w14:paraId="6DC78D79">
      <w:r>
        <w:rPr>
          <w:rStyle w:val="28"/>
          <w:rFonts w:eastAsia="楷体_GB2312"/>
        </w:rPr>
        <w:t>——</w:t>
      </w:r>
      <w:r>
        <w:rPr>
          <w:rFonts w:hint="eastAsia" w:ascii="楷体_GB2312" w:eastAsia="楷体_GB2312" w:cs="Times New Roman"/>
        </w:rPr>
        <w:t>坚持民生立区、共建共享</w:t>
      </w:r>
      <w:r>
        <w:t>。把造福人民作为根本价值取向。坚持把防范风险作为不可突破的底线红线。统筹推进新型城镇化与乡村全面振兴，更好促进城乡共同繁荣、全体人民共同富裕，塑造“学在海门”、全龄友好、江海文化、共治共享等海门特色品牌，努力建设宜居宜业、近悦远来的青春海门、活力海门、幸福海门。</w:t>
      </w:r>
    </w:p>
    <w:p w14:paraId="1B8B3E8A">
      <w:pPr>
        <w:pStyle w:val="3"/>
      </w:pPr>
      <w:bookmarkStart w:id="116" w:name="_Toc20668"/>
      <w:bookmarkStart w:id="117" w:name="_Toc3624"/>
      <w:bookmarkStart w:id="118" w:name="_Toc15125"/>
      <w:bookmarkStart w:id="119" w:name="_Toc5902"/>
      <w:bookmarkStart w:id="120" w:name="_Toc4448"/>
      <w:bookmarkStart w:id="121" w:name="_Toc17761"/>
      <w:bookmarkStart w:id="122" w:name="_Toc194"/>
      <w:bookmarkStart w:id="123" w:name="_Toc29906"/>
      <w:bookmarkStart w:id="124" w:name="_Toc23899"/>
      <w:bookmarkStart w:id="125" w:name="_Toc6621"/>
      <w:bookmarkStart w:id="126" w:name="_Toc22211"/>
      <w:bookmarkStart w:id="127" w:name="_Toc20323"/>
      <w:bookmarkStart w:id="128" w:name="_Toc6501"/>
      <w:bookmarkStart w:id="129" w:name="_Toc30171"/>
      <w:r>
        <w:t>第三节  发展目标</w:t>
      </w:r>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p>
    <w:p w14:paraId="47EAF70B">
      <w:pPr>
        <w:bidi w:val="0"/>
      </w:pPr>
      <w:r>
        <w:t>“十五五”时期，锚定2035年基本实现社会主义现代化目标，扛起为全省、全市高质量发展大局勇挑大梁、多作贡献的使命担当，抢抓战略机遇，增强历史主动，坚持大抓招商、猛攻项目，紧扣高质量发展、高品质生活、高标准生态、高水平文明、高效能治理，在长三角县（市、区）和“全国综合实力百强区”中争先进位，经济强、百姓富、环境美、社会文明程度高的新海门建设再迈新台阶。</w:t>
      </w:r>
    </w:p>
    <w:p w14:paraId="1C1442B5">
      <w:r>
        <w:rPr>
          <w:rFonts w:eastAsia="楷体_GB2312"/>
        </w:rPr>
        <w:t>——</w:t>
      </w:r>
      <w:r>
        <w:rPr>
          <w:rFonts w:hint="eastAsia" w:ascii="楷体_GB2312" w:eastAsia="楷体_GB2312" w:cs="Times New Roman"/>
        </w:rPr>
        <w:t>高质量发展取得新成效</w:t>
      </w:r>
      <w:r>
        <w:rPr>
          <w:rFonts w:eastAsia="楷体_GB2312"/>
        </w:rPr>
        <w:t>。</w:t>
      </w:r>
      <w:r>
        <w:t>经济增长保持在合理区间，地区生产总值迈上新台阶。重大项目支撑作用显著增强，重特大产业项目、高能级服务业项目、高水平科创项目招引建设取得更大突破。新型工业化、信息化、城镇化、农业现代化取得明显进展，先进制造业和现代服务业量质并举、深度融合，以实体经济为支</w:t>
      </w:r>
    </w:p>
    <w:p w14:paraId="504FC7D6">
      <w:pPr>
        <w:ind w:firstLine="0" w:firstLineChars="0"/>
        <w:rPr>
          <w:rFonts w:cs="Times New Roman"/>
        </w:rPr>
      </w:pPr>
      <w:r>
        <w:rPr>
          <w:rFonts w:cs="Times New Roman"/>
        </w:rPr>
        <w:t>撑、更具区域竞争力的特色产业体系加快构建。</w:t>
      </w:r>
    </w:p>
    <w:p w14:paraId="1FB22B6B">
      <w:r>
        <w:rPr>
          <w:rFonts w:eastAsia="楷体_GB2312"/>
        </w:rPr>
        <w:t>——</w:t>
      </w:r>
      <w:r>
        <w:rPr>
          <w:rFonts w:hint="eastAsia" w:ascii="楷体_GB2312" w:eastAsia="楷体_GB2312" w:cs="Times New Roman"/>
        </w:rPr>
        <w:t>产创融合构筑新优势</w:t>
      </w:r>
      <w:r>
        <w:rPr>
          <w:rFonts w:eastAsia="楷体_GB2312"/>
        </w:rPr>
        <w:t>。</w:t>
      </w:r>
      <w:r>
        <w:t>因地制宜发展新质生产力，企业科技创新主体作用更加凸显，创新型企业梯队持续壮大，全社会研发投入强度稳步提高。科技创新与产业创新深度融合，高能级创新平台加速集聚，科创项目产出效益显著增强，新型生产要素配置更加高效。创新创造更加活跃，人才友好型、青年发展型城市生态更具吸引力，区域创新整体功能实现系统提升。</w:t>
      </w:r>
    </w:p>
    <w:p w14:paraId="11387713">
      <w:r>
        <w:rPr>
          <w:rFonts w:eastAsia="楷体_GB2312"/>
        </w:rPr>
        <w:t>——</w:t>
      </w:r>
      <w:r>
        <w:rPr>
          <w:rFonts w:hint="eastAsia" w:ascii="楷体_GB2312" w:eastAsia="楷体_GB2312" w:cs="Times New Roman"/>
        </w:rPr>
        <w:t>区域发展塑造新动能</w:t>
      </w:r>
      <w:r>
        <w:rPr>
          <w:rFonts w:eastAsia="楷体_GB2312"/>
        </w:rPr>
        <w:t>。</w:t>
      </w:r>
      <w:r>
        <w:t>江海联动、陆海统筹的开放格局全面形成，综合立体交通枢纽地位更加凸显。全方位融入上海大都市圈，与沪苏实现创新链、产业链、资金链、人才链深度融合。海洋强区建设迈出坚实步伐，海洋经济成为重要增长极，区域协同发展的能级与核心竞争力显著跃升。</w:t>
      </w:r>
    </w:p>
    <w:p w14:paraId="3E3CC727">
      <w:r>
        <w:rPr>
          <w:rFonts w:eastAsia="楷体_GB2312"/>
        </w:rPr>
        <w:t>——</w:t>
      </w:r>
      <w:r>
        <w:rPr>
          <w:rFonts w:hint="eastAsia" w:ascii="楷体_GB2312" w:eastAsia="楷体_GB2312" w:cs="Times New Roman"/>
        </w:rPr>
        <w:t>改革开放取得新突破</w:t>
      </w:r>
      <w:r>
        <w:rPr>
          <w:rFonts w:eastAsia="楷体_GB2312"/>
        </w:rPr>
        <w:t>。</w:t>
      </w:r>
      <w:r>
        <w:t>重点领域和关键环节改革形成一批标志性成果，“投资海门就是投资上海”招商品牌更加响亮，各类经营主体活力显著增强。全面开放格局加快塑造，外贸新业态、新模式蓬勃发展，利用外资和对外贸易扩量提质，开放型经济发展步伐明显加快。全过程人民民主制度化、规范化、程序化水平进一步提高，法治海门建设达到更高水平。</w:t>
      </w:r>
    </w:p>
    <w:p w14:paraId="3CB1064C">
      <w:r>
        <w:rPr>
          <w:rFonts w:eastAsia="楷体_GB2312"/>
        </w:rPr>
        <w:t>——</w:t>
      </w:r>
      <w:r>
        <w:rPr>
          <w:rFonts w:hint="eastAsia" w:ascii="楷体_GB2312" w:eastAsia="楷体_GB2312" w:cs="Times New Roman"/>
        </w:rPr>
        <w:t>民生福祉得到新提升。</w:t>
      </w:r>
      <w:r>
        <w:t>居民收入增长与经济增长同步，就业质量稳步提高，城乡居民收入倍差进一步缩小，中等收入群体持续扩大，共同富裕迈出坚实步伐。多层次社会保障体系更加健全，现代化教育强区建设走在前列，健康海门建设成效显著，优质均衡的公共服务供给持续扩大，群众急难愁盼问题得到充分</w:t>
      </w:r>
    </w:p>
    <w:p w14:paraId="6E4B775C">
      <w:pPr>
        <w:ind w:firstLine="0" w:firstLineChars="0"/>
        <w:rPr>
          <w:rFonts w:cs="Times New Roman"/>
        </w:rPr>
      </w:pPr>
      <w:r>
        <w:rPr>
          <w:rFonts w:cs="Times New Roman"/>
        </w:rPr>
        <w:t>回应，人民群众高品质多样化生活需求不断得到满足。</w:t>
      </w:r>
    </w:p>
    <w:p w14:paraId="602EF7E2">
      <w:r>
        <w:rPr>
          <w:rFonts w:eastAsia="楷体_GB2312"/>
        </w:rPr>
        <w:t>——</w:t>
      </w:r>
      <w:r>
        <w:rPr>
          <w:rFonts w:hint="eastAsia" w:ascii="楷体_GB2312" w:eastAsia="楷体_GB2312" w:cs="Times New Roman"/>
        </w:rPr>
        <w:t>社会文明呈现新风尚</w:t>
      </w:r>
      <w:r>
        <w:rPr>
          <w:rFonts w:eastAsia="楷体_GB2312"/>
        </w:rPr>
        <w:t>。</w:t>
      </w:r>
      <w:r>
        <w:t>社会主义核心价值观深入人心，主流思想舆论不断巩固壮大，博爱包容的社会氛围更加浓厚，“张謇故里”人文底蕴更加彰显，社会文明程度达到新高度。公共文化服务体系和文化体育设施布局更加完备，“文旅体商”深度融合发展，文旅产业综合竞争力大幅提升，人文价值与经济效能实现双向赋能。</w:t>
      </w:r>
    </w:p>
    <w:p w14:paraId="04E895DC">
      <w:pPr>
        <w:rPr>
          <w:rFonts w:eastAsia="楷体_GB2312" w:cs="Times New Roman"/>
        </w:rPr>
      </w:pPr>
      <w:r>
        <w:rPr>
          <w:rFonts w:eastAsia="楷体_GB2312" w:cs="Times New Roman"/>
        </w:rPr>
        <w:t>——</w:t>
      </w:r>
      <w:r>
        <w:rPr>
          <w:rFonts w:hint="eastAsia" w:ascii="楷体_GB2312" w:eastAsia="楷体_GB2312" w:cs="Times New Roman"/>
        </w:rPr>
        <w:t>绿色转型绘就新画卷</w:t>
      </w:r>
      <w:r>
        <w:rPr>
          <w:rFonts w:eastAsia="楷体_GB2312" w:cs="Times New Roman"/>
        </w:rPr>
        <w:t>。</w:t>
      </w:r>
      <w:r>
        <w:rPr>
          <w:rFonts w:cs="Times New Roman"/>
        </w:rPr>
        <w:t>经济社会发展全面绿色转型取得显著成效，清洁低碳能源体系加快构建，资源利用效率和产出效益持续提升，绿色生产生活方式基本形成</w:t>
      </w:r>
      <w:r>
        <w:rPr>
          <w:rFonts w:hint="eastAsia" w:cs="Times New Roman"/>
        </w:rPr>
        <w:t>，</w:t>
      </w:r>
      <w:r>
        <w:rPr>
          <w:rFonts w:cs="Times New Roman"/>
        </w:rPr>
        <w:t>碳达峰目标如期实现。生态产品价值实现机制更加健全，长江大保护治理成效不断巩固，滨江临海的自然资源魅力与绿色经济效益充分释放，美丽海门建设取得标志性成果。</w:t>
      </w:r>
    </w:p>
    <w:p w14:paraId="69C9DCF4">
      <w:pPr>
        <w:ind w:firstLineChars="0"/>
        <w:rPr>
          <w:rFonts w:hint="eastAsia" w:eastAsia="仿宋_GB2312" w:cs="Times New Roman"/>
          <w:lang w:eastAsia="zh-CN"/>
        </w:rPr>
      </w:pPr>
      <w:r>
        <w:rPr>
          <w:rFonts w:eastAsia="楷体_GB2312" w:cs="Times New Roman"/>
        </w:rPr>
        <w:t>——</w:t>
      </w:r>
      <w:r>
        <w:rPr>
          <w:rFonts w:hint="eastAsia" w:ascii="楷体_GB2312" w:eastAsia="楷体_GB2312" w:cs="Times New Roman"/>
        </w:rPr>
        <w:t>区域治理构建新格局</w:t>
      </w:r>
      <w:r>
        <w:rPr>
          <w:rFonts w:eastAsia="楷体_GB2312" w:cs="Times New Roman"/>
        </w:rPr>
        <w:t>。</w:t>
      </w:r>
      <w:r>
        <w:rPr>
          <w:rFonts w:cs="Times New Roman"/>
        </w:rPr>
        <w:t>社会治理体系和治理能力现代化水平不断提升，平安海门、法治海门建设高水平推进，政府行政效率和公信力显著提高，重点领域安全得到全面保障，本质安全水平系统性提升，社会公平正义进一步彰显，安全稳定的基础更加牢固</w:t>
      </w:r>
      <w:r>
        <w:rPr>
          <w:rFonts w:hint="eastAsia" w:cs="Times New Roman"/>
          <w:lang w:eastAsia="zh-CN"/>
        </w:rPr>
        <w:t>。</w:t>
      </w:r>
    </w:p>
    <w:p w14:paraId="002E7A26">
      <w:pPr>
        <w:pStyle w:val="5"/>
        <w:ind w:firstLine="640"/>
        <w:rPr>
          <w:rFonts w:hint="eastAsia" w:ascii="仿宋_GB2312" w:hAnsi="仿宋_GB2312" w:eastAsia="仿宋_GB2312" w:cs="仿宋_GB2312"/>
          <w:szCs w:val="32"/>
        </w:rPr>
      </w:pPr>
      <w:r>
        <w:rPr>
          <w:rFonts w:hint="eastAsia" w:ascii="仿宋_GB2312" w:hAnsi="仿宋_GB2312" w:eastAsia="仿宋_GB2312" w:cs="仿宋_GB2312"/>
          <w:szCs w:val="32"/>
        </w:rPr>
        <w:t>在此基础上再奋斗五年，“强富美高”新海门现代化建设取得决定性进展和更加丰硕成果，在基本实现社会主义现代化的进程中迈出坚实步伐、走在省市前列。基本建成具有海门特色和核心竞争力的产业体系，高质量发展迈上新台阶，人均地区生产总值达到中等发达国家水平，基本实现新型工业化、信息化、城镇化、农业现代化，科技创新、产业创新能力达到长三角地区领先水平；基本建成长三角综合交通枢纽，城乡发展一体化，公共服务水平明显提升，居民人均收入达到更高水平，民生福祉更加可感可及，共同富裕取得更加明显的实质性进展；碳排放达峰后稳中有降，生态环境持续好转，江风海韵城市魅力更加彰显。法治海门、平安海门建设达到更高水平，区域治理体系和治理能力现代化基本实现。</w:t>
      </w:r>
    </w:p>
    <w:p w14:paraId="1210C0CD">
      <w:pPr>
        <w:ind w:firstLine="480"/>
        <w:jc w:val="center"/>
        <w:rPr>
          <w:rFonts w:eastAsia="黑体" w:cs="Times New Roman"/>
          <w:bCs/>
          <w:sz w:val="24"/>
        </w:rPr>
      </w:pPr>
      <w:r>
        <w:rPr>
          <w:rFonts w:eastAsia="黑体" w:cs="Times New Roman"/>
          <w:bCs/>
          <w:sz w:val="24"/>
        </w:rPr>
        <w:t>表2  “十五五”发展主要指标</w:t>
      </w:r>
    </w:p>
    <w:tbl>
      <w:tblPr>
        <w:tblStyle w:val="19"/>
        <w:tblW w:w="955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4"/>
        <w:gridCol w:w="3273"/>
        <w:gridCol w:w="518"/>
        <w:gridCol w:w="1443"/>
        <w:gridCol w:w="1120"/>
        <w:gridCol w:w="1186"/>
        <w:gridCol w:w="1126"/>
      </w:tblGrid>
      <w:tr w14:paraId="171461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tblHeader/>
          <w:jc w:val="center"/>
        </w:trPr>
        <w:tc>
          <w:tcPr>
            <w:tcW w:w="884" w:type="dxa"/>
            <w:vMerge w:val="restart"/>
            <w:tcMar>
              <w:top w:w="0" w:type="dxa"/>
              <w:left w:w="57" w:type="dxa"/>
              <w:bottom w:w="0" w:type="dxa"/>
              <w:right w:w="57" w:type="dxa"/>
            </w:tcMar>
            <w:vAlign w:val="center"/>
          </w:tcPr>
          <w:p w14:paraId="27C12668">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eastAsia="方正黑体_GBK" w:cs="Times New Roman"/>
                <w:sz w:val="24"/>
              </w:rPr>
            </w:pPr>
            <w:r>
              <w:rPr>
                <w:rFonts w:eastAsia="黑体" w:cs="Times New Roman"/>
                <w:sz w:val="24"/>
              </w:rPr>
              <w:t>类别</w:t>
            </w:r>
          </w:p>
        </w:tc>
        <w:tc>
          <w:tcPr>
            <w:tcW w:w="5234" w:type="dxa"/>
            <w:gridSpan w:val="3"/>
            <w:vMerge w:val="restart"/>
            <w:tcMar>
              <w:top w:w="0" w:type="dxa"/>
              <w:left w:w="57" w:type="dxa"/>
              <w:bottom w:w="0" w:type="dxa"/>
              <w:right w:w="57" w:type="dxa"/>
            </w:tcMar>
            <w:vAlign w:val="center"/>
          </w:tcPr>
          <w:p w14:paraId="37EB32E3">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eastAsia="方正黑体_GBK" w:cs="Times New Roman"/>
                <w:sz w:val="24"/>
              </w:rPr>
            </w:pPr>
            <w:r>
              <w:rPr>
                <w:rFonts w:eastAsia="黑体" w:cs="Times New Roman"/>
                <w:sz w:val="24"/>
              </w:rPr>
              <w:t>指   标</w:t>
            </w:r>
          </w:p>
        </w:tc>
        <w:tc>
          <w:tcPr>
            <w:tcW w:w="2306" w:type="dxa"/>
            <w:gridSpan w:val="2"/>
            <w:tcMar>
              <w:top w:w="0" w:type="dxa"/>
              <w:left w:w="0" w:type="dxa"/>
              <w:bottom w:w="0" w:type="dxa"/>
              <w:right w:w="0" w:type="dxa"/>
            </w:tcMar>
            <w:vAlign w:val="center"/>
          </w:tcPr>
          <w:p w14:paraId="550C08FA">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eastAsia="方正黑体_GBK" w:cs="Times New Roman"/>
                <w:sz w:val="24"/>
              </w:rPr>
            </w:pPr>
            <w:r>
              <w:rPr>
                <w:rFonts w:eastAsia="黑体" w:cs="Times New Roman"/>
                <w:sz w:val="24"/>
              </w:rPr>
              <w:t>规划目标</w:t>
            </w:r>
          </w:p>
        </w:tc>
        <w:tc>
          <w:tcPr>
            <w:tcW w:w="1126" w:type="dxa"/>
            <w:vMerge w:val="restart"/>
            <w:tcMar>
              <w:top w:w="0" w:type="dxa"/>
              <w:left w:w="0" w:type="dxa"/>
              <w:bottom w:w="0" w:type="dxa"/>
              <w:right w:w="0" w:type="dxa"/>
            </w:tcMar>
            <w:vAlign w:val="center"/>
          </w:tcPr>
          <w:p w14:paraId="49C148D8">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eastAsia="方正黑体_GBK" w:cs="Times New Roman"/>
                <w:sz w:val="24"/>
              </w:rPr>
            </w:pPr>
            <w:r>
              <w:rPr>
                <w:rFonts w:eastAsia="黑体" w:cs="Times New Roman"/>
                <w:sz w:val="24"/>
              </w:rPr>
              <w:t>属性</w:t>
            </w:r>
          </w:p>
        </w:tc>
      </w:tr>
      <w:tr w14:paraId="4205A1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tblHeader/>
          <w:jc w:val="center"/>
        </w:trPr>
        <w:tc>
          <w:tcPr>
            <w:tcW w:w="884" w:type="dxa"/>
            <w:vMerge w:val="continue"/>
            <w:tcMar>
              <w:top w:w="0" w:type="dxa"/>
              <w:left w:w="57" w:type="dxa"/>
              <w:bottom w:w="0" w:type="dxa"/>
              <w:right w:w="57" w:type="dxa"/>
            </w:tcMar>
            <w:vAlign w:val="center"/>
          </w:tcPr>
          <w:p w14:paraId="03DF26F4">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eastAsia="方正黑体_GBK" w:cs="Times New Roman"/>
                <w:sz w:val="24"/>
              </w:rPr>
            </w:pPr>
          </w:p>
        </w:tc>
        <w:tc>
          <w:tcPr>
            <w:tcW w:w="5234" w:type="dxa"/>
            <w:gridSpan w:val="3"/>
            <w:vMerge w:val="continue"/>
            <w:tcMar>
              <w:top w:w="0" w:type="dxa"/>
              <w:left w:w="57" w:type="dxa"/>
              <w:bottom w:w="0" w:type="dxa"/>
              <w:right w:w="57" w:type="dxa"/>
            </w:tcMar>
            <w:vAlign w:val="center"/>
          </w:tcPr>
          <w:p w14:paraId="22E60AB3">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eastAsia="方正黑体_GBK" w:cs="Times New Roman"/>
                <w:sz w:val="24"/>
              </w:rPr>
            </w:pPr>
          </w:p>
        </w:tc>
        <w:tc>
          <w:tcPr>
            <w:tcW w:w="1120" w:type="dxa"/>
            <w:tcMar>
              <w:top w:w="0" w:type="dxa"/>
              <w:left w:w="0" w:type="dxa"/>
              <w:bottom w:w="0" w:type="dxa"/>
              <w:right w:w="0" w:type="dxa"/>
            </w:tcMar>
            <w:vAlign w:val="center"/>
          </w:tcPr>
          <w:p w14:paraId="6E35475F">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eastAsia="方正黑体_GBK" w:cs="Times New Roman"/>
                <w:sz w:val="24"/>
              </w:rPr>
            </w:pPr>
            <w:r>
              <w:rPr>
                <w:rFonts w:eastAsia="黑体" w:cs="Times New Roman"/>
                <w:sz w:val="24"/>
              </w:rPr>
              <w:t>2030年</w:t>
            </w:r>
          </w:p>
        </w:tc>
        <w:tc>
          <w:tcPr>
            <w:tcW w:w="1186" w:type="dxa"/>
            <w:tcMar>
              <w:top w:w="0" w:type="dxa"/>
              <w:left w:w="0" w:type="dxa"/>
              <w:bottom w:w="0" w:type="dxa"/>
              <w:right w:w="0" w:type="dxa"/>
            </w:tcMar>
            <w:vAlign w:val="center"/>
          </w:tcPr>
          <w:p w14:paraId="0CFFF942">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eastAsia="方正黑体_GBK" w:cs="Times New Roman"/>
                <w:sz w:val="24"/>
              </w:rPr>
            </w:pPr>
            <w:r>
              <w:rPr>
                <w:rFonts w:eastAsia="黑体" w:cs="Times New Roman"/>
                <w:sz w:val="24"/>
              </w:rPr>
              <w:t>年均增速【累计】</w:t>
            </w:r>
          </w:p>
        </w:tc>
        <w:tc>
          <w:tcPr>
            <w:tcW w:w="1126" w:type="dxa"/>
            <w:vMerge w:val="continue"/>
            <w:tcMar>
              <w:top w:w="0" w:type="dxa"/>
              <w:left w:w="0" w:type="dxa"/>
              <w:bottom w:w="0" w:type="dxa"/>
              <w:right w:w="0" w:type="dxa"/>
            </w:tcMar>
            <w:vAlign w:val="center"/>
          </w:tcPr>
          <w:p w14:paraId="530A0243">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eastAsia="方正黑体_GBK" w:cs="Times New Roman"/>
                <w:sz w:val="24"/>
              </w:rPr>
            </w:pPr>
          </w:p>
        </w:tc>
      </w:tr>
      <w:tr w14:paraId="314721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884" w:type="dxa"/>
            <w:vMerge w:val="restart"/>
            <w:tcMar>
              <w:top w:w="0" w:type="dxa"/>
              <w:left w:w="57" w:type="dxa"/>
              <w:bottom w:w="0" w:type="dxa"/>
              <w:right w:w="57" w:type="dxa"/>
            </w:tcMar>
            <w:vAlign w:val="center"/>
          </w:tcPr>
          <w:p w14:paraId="6D0DB6D2">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cs="Times New Roman"/>
                <w:sz w:val="24"/>
              </w:rPr>
            </w:pPr>
            <w:r>
              <w:rPr>
                <w:rFonts w:cs="Times New Roman"/>
                <w:sz w:val="24"/>
              </w:rPr>
              <w:t>经济强</w:t>
            </w:r>
          </w:p>
        </w:tc>
        <w:tc>
          <w:tcPr>
            <w:tcW w:w="5234" w:type="dxa"/>
            <w:gridSpan w:val="3"/>
            <w:tcMar>
              <w:top w:w="0" w:type="dxa"/>
              <w:left w:w="57" w:type="dxa"/>
              <w:bottom w:w="0" w:type="dxa"/>
              <w:right w:w="57" w:type="dxa"/>
            </w:tcMar>
            <w:vAlign w:val="center"/>
          </w:tcPr>
          <w:p w14:paraId="422B7E4A">
            <w:pPr>
              <w:keepNext w:val="0"/>
              <w:keepLines w:val="0"/>
              <w:pageBreakBefore w:val="0"/>
              <w:widowControl w:val="0"/>
              <w:numPr>
                <w:ilvl w:val="0"/>
                <w:numId w:val="1"/>
              </w:numPr>
              <w:kinsoku/>
              <w:wordWrap/>
              <w:overflowPunct/>
              <w:topLinePunct w:val="0"/>
              <w:autoSpaceDE/>
              <w:autoSpaceDN/>
              <w:bidi w:val="0"/>
              <w:adjustRightInd/>
              <w:snapToGrid/>
              <w:spacing w:line="400" w:lineRule="exact"/>
              <w:ind w:firstLineChars="0"/>
              <w:textAlignment w:val="auto"/>
              <w:rPr>
                <w:rFonts w:cs="Times New Roman"/>
                <w:kern w:val="0"/>
                <w:sz w:val="24"/>
              </w:rPr>
            </w:pPr>
            <w:r>
              <w:rPr>
                <w:rFonts w:cs="Times New Roman"/>
                <w:kern w:val="0"/>
                <w:sz w:val="24"/>
              </w:rPr>
              <w:t>地区生产总值增长（%）</w:t>
            </w:r>
          </w:p>
        </w:tc>
        <w:tc>
          <w:tcPr>
            <w:tcW w:w="1120" w:type="dxa"/>
            <w:tcMar>
              <w:top w:w="0" w:type="dxa"/>
              <w:left w:w="0" w:type="dxa"/>
              <w:bottom w:w="0" w:type="dxa"/>
              <w:right w:w="0" w:type="dxa"/>
            </w:tcMar>
            <w:vAlign w:val="center"/>
          </w:tcPr>
          <w:p w14:paraId="1998BB38">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eastAsia="方正仿宋_GBK" w:cs="Times New Roman"/>
                <w:sz w:val="24"/>
              </w:rPr>
            </w:pPr>
            <w:r>
              <w:rPr>
                <w:rFonts w:cs="Times New Roman"/>
                <w:sz w:val="24"/>
              </w:rPr>
              <w:t>—</w:t>
            </w:r>
          </w:p>
        </w:tc>
        <w:tc>
          <w:tcPr>
            <w:tcW w:w="1186" w:type="dxa"/>
            <w:tcMar>
              <w:top w:w="0" w:type="dxa"/>
              <w:left w:w="0" w:type="dxa"/>
              <w:bottom w:w="0" w:type="dxa"/>
              <w:right w:w="0" w:type="dxa"/>
            </w:tcMar>
            <w:vAlign w:val="center"/>
          </w:tcPr>
          <w:p w14:paraId="1353211F">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cs="Times New Roman"/>
                <w:sz w:val="24"/>
              </w:rPr>
            </w:pPr>
            <w:r>
              <w:rPr>
                <w:rFonts w:cs="Times New Roman"/>
                <w:sz w:val="24"/>
              </w:rPr>
              <w:t>5.5</w:t>
            </w:r>
          </w:p>
        </w:tc>
        <w:tc>
          <w:tcPr>
            <w:tcW w:w="1126" w:type="dxa"/>
            <w:tcMar>
              <w:top w:w="0" w:type="dxa"/>
              <w:left w:w="0" w:type="dxa"/>
              <w:bottom w:w="0" w:type="dxa"/>
              <w:right w:w="0" w:type="dxa"/>
            </w:tcMar>
            <w:vAlign w:val="center"/>
          </w:tcPr>
          <w:p w14:paraId="772A6A91">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cs="Times New Roman"/>
                <w:sz w:val="24"/>
              </w:rPr>
            </w:pPr>
            <w:r>
              <w:rPr>
                <w:rFonts w:cs="Times New Roman"/>
                <w:sz w:val="24"/>
              </w:rPr>
              <w:t>预期性</w:t>
            </w:r>
          </w:p>
        </w:tc>
      </w:tr>
      <w:tr w14:paraId="576451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84" w:type="dxa"/>
            <w:vMerge w:val="continue"/>
            <w:tcMar>
              <w:top w:w="0" w:type="dxa"/>
              <w:left w:w="57" w:type="dxa"/>
              <w:bottom w:w="0" w:type="dxa"/>
              <w:right w:w="57" w:type="dxa"/>
            </w:tcMar>
            <w:vAlign w:val="center"/>
          </w:tcPr>
          <w:p w14:paraId="10D864E0">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cs="Times New Roman"/>
                <w:sz w:val="24"/>
              </w:rPr>
            </w:pPr>
          </w:p>
        </w:tc>
        <w:tc>
          <w:tcPr>
            <w:tcW w:w="5234" w:type="dxa"/>
            <w:gridSpan w:val="3"/>
            <w:tcMar>
              <w:top w:w="0" w:type="dxa"/>
              <w:left w:w="57" w:type="dxa"/>
              <w:bottom w:w="0" w:type="dxa"/>
              <w:right w:w="57" w:type="dxa"/>
            </w:tcMar>
            <w:vAlign w:val="center"/>
          </w:tcPr>
          <w:p w14:paraId="58A2A8A9">
            <w:pPr>
              <w:keepNext w:val="0"/>
              <w:keepLines w:val="0"/>
              <w:pageBreakBefore w:val="0"/>
              <w:widowControl w:val="0"/>
              <w:numPr>
                <w:ilvl w:val="0"/>
                <w:numId w:val="1"/>
              </w:numPr>
              <w:kinsoku/>
              <w:wordWrap/>
              <w:overflowPunct/>
              <w:topLinePunct w:val="0"/>
              <w:autoSpaceDE/>
              <w:autoSpaceDN/>
              <w:bidi w:val="0"/>
              <w:adjustRightInd/>
              <w:snapToGrid/>
              <w:spacing w:line="400" w:lineRule="exact"/>
              <w:ind w:firstLineChars="0"/>
              <w:textAlignment w:val="auto"/>
              <w:rPr>
                <w:rFonts w:cs="Times New Roman"/>
                <w:kern w:val="0"/>
                <w:sz w:val="24"/>
              </w:rPr>
            </w:pPr>
            <w:r>
              <w:rPr>
                <w:rFonts w:cs="Times New Roman"/>
                <w:kern w:val="0"/>
                <w:sz w:val="24"/>
              </w:rPr>
              <w:t>全员劳动生产率增长（%）</w:t>
            </w:r>
          </w:p>
        </w:tc>
        <w:tc>
          <w:tcPr>
            <w:tcW w:w="1120" w:type="dxa"/>
            <w:tcMar>
              <w:top w:w="0" w:type="dxa"/>
              <w:left w:w="0" w:type="dxa"/>
              <w:bottom w:w="0" w:type="dxa"/>
              <w:right w:w="0" w:type="dxa"/>
            </w:tcMar>
            <w:vAlign w:val="center"/>
          </w:tcPr>
          <w:p w14:paraId="732D3994">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cs="Times New Roman"/>
                <w:sz w:val="24"/>
              </w:rPr>
            </w:pPr>
            <w:r>
              <w:rPr>
                <w:rFonts w:cs="Times New Roman"/>
                <w:sz w:val="24"/>
              </w:rPr>
              <w:t>—</w:t>
            </w:r>
          </w:p>
        </w:tc>
        <w:tc>
          <w:tcPr>
            <w:tcW w:w="1186" w:type="dxa"/>
            <w:tcMar>
              <w:top w:w="0" w:type="dxa"/>
              <w:left w:w="0" w:type="dxa"/>
              <w:bottom w:w="0" w:type="dxa"/>
              <w:right w:w="0" w:type="dxa"/>
            </w:tcMar>
            <w:vAlign w:val="center"/>
          </w:tcPr>
          <w:p w14:paraId="2906C8F8">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default" w:ascii="Times New Roman" w:hAnsi="Times New Roman" w:eastAsia="仿宋_GB2312" w:cs="Times New Roman"/>
                <w:sz w:val="24"/>
              </w:rPr>
            </w:pPr>
            <w:r>
              <w:rPr>
                <w:rFonts w:hint="default" w:ascii="Times New Roman" w:hAnsi="Times New Roman" w:eastAsia="仿宋_GB2312" w:cs="Times New Roman"/>
                <w:sz w:val="24"/>
              </w:rPr>
              <w:t>高于GDP增长</w:t>
            </w:r>
          </w:p>
        </w:tc>
        <w:tc>
          <w:tcPr>
            <w:tcW w:w="1126" w:type="dxa"/>
            <w:tcMar>
              <w:top w:w="0" w:type="dxa"/>
              <w:left w:w="0" w:type="dxa"/>
              <w:bottom w:w="0" w:type="dxa"/>
              <w:right w:w="0" w:type="dxa"/>
            </w:tcMar>
            <w:vAlign w:val="center"/>
          </w:tcPr>
          <w:p w14:paraId="0458A2A5">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cs="Times New Roman"/>
                <w:sz w:val="24"/>
              </w:rPr>
            </w:pPr>
            <w:r>
              <w:rPr>
                <w:rFonts w:cs="Times New Roman"/>
                <w:sz w:val="24"/>
              </w:rPr>
              <w:t>预期性</w:t>
            </w:r>
          </w:p>
        </w:tc>
      </w:tr>
      <w:tr w14:paraId="789F85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884" w:type="dxa"/>
            <w:vMerge w:val="continue"/>
            <w:tcMar>
              <w:top w:w="0" w:type="dxa"/>
              <w:left w:w="57" w:type="dxa"/>
              <w:bottom w:w="0" w:type="dxa"/>
              <w:right w:w="57" w:type="dxa"/>
            </w:tcMar>
            <w:vAlign w:val="center"/>
          </w:tcPr>
          <w:p w14:paraId="3E98B416">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cs="Times New Roman"/>
                <w:sz w:val="24"/>
              </w:rPr>
            </w:pPr>
          </w:p>
        </w:tc>
        <w:tc>
          <w:tcPr>
            <w:tcW w:w="5234" w:type="dxa"/>
            <w:gridSpan w:val="3"/>
            <w:tcMar>
              <w:top w:w="0" w:type="dxa"/>
              <w:left w:w="57" w:type="dxa"/>
              <w:bottom w:w="0" w:type="dxa"/>
              <w:right w:w="57" w:type="dxa"/>
            </w:tcMar>
            <w:vAlign w:val="center"/>
          </w:tcPr>
          <w:p w14:paraId="03417621">
            <w:pPr>
              <w:keepNext w:val="0"/>
              <w:keepLines w:val="0"/>
              <w:pageBreakBefore w:val="0"/>
              <w:widowControl w:val="0"/>
              <w:numPr>
                <w:ilvl w:val="0"/>
                <w:numId w:val="1"/>
              </w:numPr>
              <w:kinsoku/>
              <w:wordWrap/>
              <w:overflowPunct/>
              <w:topLinePunct w:val="0"/>
              <w:autoSpaceDE/>
              <w:autoSpaceDN/>
              <w:bidi w:val="0"/>
              <w:adjustRightInd/>
              <w:snapToGrid/>
              <w:spacing w:line="400" w:lineRule="exact"/>
              <w:ind w:firstLineChars="0"/>
              <w:textAlignment w:val="auto"/>
              <w:rPr>
                <w:rFonts w:cs="Times New Roman"/>
                <w:kern w:val="0"/>
                <w:sz w:val="24"/>
              </w:rPr>
            </w:pPr>
            <w:r>
              <w:rPr>
                <w:rFonts w:hint="eastAsia" w:cs="Times New Roman"/>
                <w:kern w:val="0"/>
                <w:sz w:val="24"/>
              </w:rPr>
              <w:t>全社会</w:t>
            </w:r>
            <w:r>
              <w:rPr>
                <w:rFonts w:cs="Times New Roman"/>
                <w:kern w:val="0"/>
                <w:sz w:val="24"/>
              </w:rPr>
              <w:t>研发经费投入增长（%）</w:t>
            </w:r>
          </w:p>
        </w:tc>
        <w:tc>
          <w:tcPr>
            <w:tcW w:w="1120" w:type="dxa"/>
            <w:tcMar>
              <w:top w:w="0" w:type="dxa"/>
              <w:left w:w="0" w:type="dxa"/>
              <w:bottom w:w="0" w:type="dxa"/>
              <w:right w:w="0" w:type="dxa"/>
            </w:tcMar>
            <w:vAlign w:val="center"/>
          </w:tcPr>
          <w:p w14:paraId="015D8411">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cs="Times New Roman"/>
                <w:sz w:val="24"/>
              </w:rPr>
            </w:pPr>
            <w:r>
              <w:rPr>
                <w:rFonts w:cs="Times New Roman"/>
                <w:sz w:val="24"/>
              </w:rPr>
              <w:t>—</w:t>
            </w:r>
          </w:p>
        </w:tc>
        <w:tc>
          <w:tcPr>
            <w:tcW w:w="1186" w:type="dxa"/>
            <w:tcMar>
              <w:top w:w="0" w:type="dxa"/>
              <w:left w:w="0" w:type="dxa"/>
              <w:bottom w:w="0" w:type="dxa"/>
              <w:right w:w="0" w:type="dxa"/>
            </w:tcMar>
            <w:vAlign w:val="center"/>
          </w:tcPr>
          <w:p w14:paraId="7BA03CDE">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eastAsia="方正仿宋_GBK" w:cs="Times New Roman"/>
                <w:sz w:val="24"/>
              </w:rPr>
            </w:pPr>
            <w:r>
              <w:rPr>
                <w:rFonts w:cs="Times New Roman"/>
                <w:sz w:val="24"/>
              </w:rPr>
              <w:t>6</w:t>
            </w:r>
          </w:p>
        </w:tc>
        <w:tc>
          <w:tcPr>
            <w:tcW w:w="1126" w:type="dxa"/>
            <w:tcMar>
              <w:top w:w="0" w:type="dxa"/>
              <w:left w:w="0" w:type="dxa"/>
              <w:bottom w:w="0" w:type="dxa"/>
              <w:right w:w="0" w:type="dxa"/>
            </w:tcMar>
            <w:vAlign w:val="center"/>
          </w:tcPr>
          <w:p w14:paraId="4D4C066E">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cs="Times New Roman"/>
                <w:sz w:val="24"/>
              </w:rPr>
            </w:pPr>
            <w:r>
              <w:rPr>
                <w:rFonts w:cs="Times New Roman"/>
                <w:sz w:val="24"/>
              </w:rPr>
              <w:t>预期性</w:t>
            </w:r>
          </w:p>
        </w:tc>
      </w:tr>
      <w:tr w14:paraId="77C6FA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884" w:type="dxa"/>
            <w:vMerge w:val="continue"/>
            <w:tcMar>
              <w:top w:w="0" w:type="dxa"/>
              <w:left w:w="57" w:type="dxa"/>
              <w:bottom w:w="0" w:type="dxa"/>
              <w:right w:w="57" w:type="dxa"/>
            </w:tcMar>
            <w:vAlign w:val="center"/>
          </w:tcPr>
          <w:p w14:paraId="1ACF5E4D">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cs="Times New Roman"/>
                <w:sz w:val="24"/>
              </w:rPr>
            </w:pPr>
          </w:p>
        </w:tc>
        <w:tc>
          <w:tcPr>
            <w:tcW w:w="5234" w:type="dxa"/>
            <w:gridSpan w:val="3"/>
            <w:tcMar>
              <w:top w:w="0" w:type="dxa"/>
              <w:left w:w="57" w:type="dxa"/>
              <w:bottom w:w="0" w:type="dxa"/>
              <w:right w:w="57" w:type="dxa"/>
            </w:tcMar>
            <w:vAlign w:val="center"/>
          </w:tcPr>
          <w:p w14:paraId="20617B6D">
            <w:pPr>
              <w:keepNext w:val="0"/>
              <w:keepLines w:val="0"/>
              <w:pageBreakBefore w:val="0"/>
              <w:widowControl w:val="0"/>
              <w:numPr>
                <w:ilvl w:val="0"/>
                <w:numId w:val="1"/>
              </w:numPr>
              <w:kinsoku/>
              <w:wordWrap/>
              <w:overflowPunct/>
              <w:topLinePunct w:val="0"/>
              <w:autoSpaceDE/>
              <w:autoSpaceDN/>
              <w:bidi w:val="0"/>
              <w:adjustRightInd/>
              <w:snapToGrid/>
              <w:spacing w:line="400" w:lineRule="exact"/>
              <w:ind w:firstLineChars="0"/>
              <w:textAlignment w:val="auto"/>
              <w:rPr>
                <w:rFonts w:cs="Times New Roman"/>
                <w:kern w:val="0"/>
                <w:sz w:val="24"/>
              </w:rPr>
            </w:pPr>
            <w:r>
              <w:rPr>
                <w:rFonts w:cs="Times New Roman"/>
                <w:kern w:val="0"/>
                <w:sz w:val="24"/>
              </w:rPr>
              <w:t>每万人口高价值发明专利拥有量（件）</w:t>
            </w:r>
          </w:p>
        </w:tc>
        <w:tc>
          <w:tcPr>
            <w:tcW w:w="1120" w:type="dxa"/>
            <w:tcMar>
              <w:top w:w="0" w:type="dxa"/>
              <w:left w:w="0" w:type="dxa"/>
              <w:bottom w:w="0" w:type="dxa"/>
              <w:right w:w="0" w:type="dxa"/>
            </w:tcMar>
            <w:vAlign w:val="center"/>
          </w:tcPr>
          <w:p w14:paraId="56C8DB10">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cs="Times New Roman"/>
                <w:sz w:val="24"/>
              </w:rPr>
            </w:pPr>
            <w:r>
              <w:rPr>
                <w:rFonts w:cs="Times New Roman"/>
                <w:sz w:val="24"/>
              </w:rPr>
              <w:t>24.2</w:t>
            </w:r>
          </w:p>
        </w:tc>
        <w:tc>
          <w:tcPr>
            <w:tcW w:w="1186" w:type="dxa"/>
            <w:tcMar>
              <w:top w:w="0" w:type="dxa"/>
              <w:left w:w="0" w:type="dxa"/>
              <w:bottom w:w="0" w:type="dxa"/>
              <w:right w:w="0" w:type="dxa"/>
            </w:tcMar>
            <w:vAlign w:val="center"/>
          </w:tcPr>
          <w:p w14:paraId="7288E62D">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cs="Times New Roman"/>
                <w:sz w:val="24"/>
              </w:rPr>
            </w:pPr>
            <w:r>
              <w:rPr>
                <w:rFonts w:cs="Times New Roman"/>
                <w:sz w:val="24"/>
              </w:rPr>
              <w:t>—</w:t>
            </w:r>
          </w:p>
        </w:tc>
        <w:tc>
          <w:tcPr>
            <w:tcW w:w="1126" w:type="dxa"/>
            <w:tcMar>
              <w:top w:w="0" w:type="dxa"/>
              <w:left w:w="0" w:type="dxa"/>
              <w:bottom w:w="0" w:type="dxa"/>
              <w:right w:w="0" w:type="dxa"/>
            </w:tcMar>
            <w:vAlign w:val="center"/>
          </w:tcPr>
          <w:p w14:paraId="08F345BC">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cs="Times New Roman"/>
                <w:sz w:val="24"/>
              </w:rPr>
            </w:pPr>
            <w:r>
              <w:rPr>
                <w:rFonts w:cs="Times New Roman"/>
                <w:sz w:val="24"/>
              </w:rPr>
              <w:t>预期性</w:t>
            </w:r>
          </w:p>
        </w:tc>
      </w:tr>
      <w:tr w14:paraId="64B42E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 w:hRule="atLeast"/>
          <w:jc w:val="center"/>
        </w:trPr>
        <w:tc>
          <w:tcPr>
            <w:tcW w:w="884" w:type="dxa"/>
            <w:vMerge w:val="continue"/>
            <w:tcMar>
              <w:top w:w="0" w:type="dxa"/>
              <w:left w:w="57" w:type="dxa"/>
              <w:bottom w:w="0" w:type="dxa"/>
              <w:right w:w="57" w:type="dxa"/>
            </w:tcMar>
            <w:vAlign w:val="center"/>
          </w:tcPr>
          <w:p w14:paraId="278B1C88">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cs="Times New Roman"/>
                <w:sz w:val="24"/>
              </w:rPr>
            </w:pPr>
          </w:p>
        </w:tc>
        <w:tc>
          <w:tcPr>
            <w:tcW w:w="5234" w:type="dxa"/>
            <w:gridSpan w:val="3"/>
            <w:tcMar>
              <w:top w:w="0" w:type="dxa"/>
              <w:left w:w="57" w:type="dxa"/>
              <w:bottom w:w="0" w:type="dxa"/>
              <w:right w:w="57" w:type="dxa"/>
            </w:tcMar>
            <w:vAlign w:val="center"/>
          </w:tcPr>
          <w:p w14:paraId="1ED2600E">
            <w:pPr>
              <w:keepNext w:val="0"/>
              <w:keepLines w:val="0"/>
              <w:pageBreakBefore w:val="0"/>
              <w:widowControl w:val="0"/>
              <w:numPr>
                <w:ilvl w:val="0"/>
                <w:numId w:val="1"/>
              </w:numPr>
              <w:kinsoku/>
              <w:wordWrap/>
              <w:overflowPunct/>
              <w:topLinePunct w:val="0"/>
              <w:autoSpaceDE/>
              <w:autoSpaceDN/>
              <w:bidi w:val="0"/>
              <w:adjustRightInd/>
              <w:snapToGrid/>
              <w:spacing w:line="400" w:lineRule="exact"/>
              <w:ind w:firstLineChars="0"/>
              <w:textAlignment w:val="auto"/>
              <w:rPr>
                <w:rFonts w:eastAsia="方正仿宋_GBK" w:cs="Times New Roman"/>
                <w:kern w:val="0"/>
                <w:sz w:val="24"/>
              </w:rPr>
            </w:pPr>
            <w:r>
              <w:rPr>
                <w:rFonts w:cs="Times New Roman"/>
                <w:kern w:val="0"/>
                <w:sz w:val="24"/>
              </w:rPr>
              <w:t>制造业增加值占比（%）</w:t>
            </w:r>
          </w:p>
        </w:tc>
        <w:tc>
          <w:tcPr>
            <w:tcW w:w="1120" w:type="dxa"/>
            <w:tcMar>
              <w:top w:w="0" w:type="dxa"/>
              <w:left w:w="0" w:type="dxa"/>
              <w:bottom w:w="0" w:type="dxa"/>
              <w:right w:w="0" w:type="dxa"/>
            </w:tcMar>
            <w:vAlign w:val="center"/>
          </w:tcPr>
          <w:p w14:paraId="07BBB9FA">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eastAsia="方正仿宋_GBK" w:cs="Times New Roman"/>
                <w:sz w:val="24"/>
              </w:rPr>
            </w:pPr>
            <w:r>
              <w:rPr>
                <w:rFonts w:cs="Times New Roman"/>
                <w:sz w:val="24"/>
              </w:rPr>
              <w:t>保持基本稳定</w:t>
            </w:r>
          </w:p>
        </w:tc>
        <w:tc>
          <w:tcPr>
            <w:tcW w:w="1186" w:type="dxa"/>
            <w:tcMar>
              <w:top w:w="0" w:type="dxa"/>
              <w:left w:w="0" w:type="dxa"/>
              <w:bottom w:w="0" w:type="dxa"/>
              <w:right w:w="0" w:type="dxa"/>
            </w:tcMar>
            <w:vAlign w:val="center"/>
          </w:tcPr>
          <w:p w14:paraId="47DA6AD6">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cs="Times New Roman"/>
                <w:sz w:val="24"/>
              </w:rPr>
            </w:pPr>
            <w:r>
              <w:rPr>
                <w:rFonts w:cs="Times New Roman"/>
                <w:sz w:val="24"/>
              </w:rPr>
              <w:t>—</w:t>
            </w:r>
          </w:p>
        </w:tc>
        <w:tc>
          <w:tcPr>
            <w:tcW w:w="1126" w:type="dxa"/>
            <w:tcMar>
              <w:top w:w="0" w:type="dxa"/>
              <w:left w:w="0" w:type="dxa"/>
              <w:bottom w:w="0" w:type="dxa"/>
              <w:right w:w="0" w:type="dxa"/>
            </w:tcMar>
            <w:vAlign w:val="center"/>
          </w:tcPr>
          <w:p w14:paraId="2141645E">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cs="Times New Roman"/>
                <w:sz w:val="24"/>
              </w:rPr>
            </w:pPr>
            <w:r>
              <w:rPr>
                <w:rFonts w:cs="Times New Roman"/>
                <w:sz w:val="24"/>
              </w:rPr>
              <w:t>预期性</w:t>
            </w:r>
          </w:p>
        </w:tc>
      </w:tr>
      <w:tr w14:paraId="5F6360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884" w:type="dxa"/>
            <w:vMerge w:val="continue"/>
            <w:tcMar>
              <w:top w:w="0" w:type="dxa"/>
              <w:left w:w="57" w:type="dxa"/>
              <w:bottom w:w="0" w:type="dxa"/>
              <w:right w:w="57" w:type="dxa"/>
            </w:tcMar>
            <w:vAlign w:val="center"/>
          </w:tcPr>
          <w:p w14:paraId="6F70B74F">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cs="Times New Roman"/>
                <w:sz w:val="24"/>
              </w:rPr>
            </w:pPr>
          </w:p>
        </w:tc>
        <w:tc>
          <w:tcPr>
            <w:tcW w:w="5234" w:type="dxa"/>
            <w:gridSpan w:val="3"/>
            <w:tcMar>
              <w:top w:w="0" w:type="dxa"/>
              <w:left w:w="57" w:type="dxa"/>
              <w:bottom w:w="0" w:type="dxa"/>
              <w:right w:w="57" w:type="dxa"/>
            </w:tcMar>
            <w:vAlign w:val="center"/>
          </w:tcPr>
          <w:p w14:paraId="52353E92">
            <w:pPr>
              <w:keepNext w:val="0"/>
              <w:keepLines w:val="0"/>
              <w:pageBreakBefore w:val="0"/>
              <w:widowControl w:val="0"/>
              <w:numPr>
                <w:ilvl w:val="0"/>
                <w:numId w:val="1"/>
              </w:numPr>
              <w:kinsoku/>
              <w:wordWrap/>
              <w:overflowPunct/>
              <w:topLinePunct w:val="0"/>
              <w:autoSpaceDE/>
              <w:autoSpaceDN/>
              <w:bidi w:val="0"/>
              <w:adjustRightInd/>
              <w:snapToGrid/>
              <w:spacing w:line="400" w:lineRule="exact"/>
              <w:ind w:firstLineChars="0"/>
              <w:textAlignment w:val="auto"/>
              <w:rPr>
                <w:rFonts w:cs="Times New Roman"/>
                <w:kern w:val="0"/>
                <w:sz w:val="24"/>
              </w:rPr>
            </w:pPr>
            <w:r>
              <w:rPr>
                <w:rFonts w:cs="Times New Roman"/>
                <w:kern w:val="0"/>
                <w:sz w:val="24"/>
              </w:rPr>
              <w:t>高新技术产业产值占规上工业产值比重（%）</w:t>
            </w:r>
          </w:p>
        </w:tc>
        <w:tc>
          <w:tcPr>
            <w:tcW w:w="1120" w:type="dxa"/>
            <w:tcMar>
              <w:top w:w="0" w:type="dxa"/>
              <w:left w:w="0" w:type="dxa"/>
              <w:bottom w:w="0" w:type="dxa"/>
              <w:right w:w="0" w:type="dxa"/>
            </w:tcMar>
            <w:vAlign w:val="center"/>
          </w:tcPr>
          <w:p w14:paraId="5FAE3E07">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eastAsia="方正仿宋_GBK" w:cs="Times New Roman"/>
                <w:sz w:val="24"/>
              </w:rPr>
            </w:pPr>
            <w:r>
              <w:rPr>
                <w:rFonts w:cs="Times New Roman"/>
                <w:sz w:val="24"/>
              </w:rPr>
              <w:t>39</w:t>
            </w:r>
          </w:p>
        </w:tc>
        <w:tc>
          <w:tcPr>
            <w:tcW w:w="1186" w:type="dxa"/>
            <w:tcMar>
              <w:top w:w="0" w:type="dxa"/>
              <w:left w:w="0" w:type="dxa"/>
              <w:bottom w:w="0" w:type="dxa"/>
              <w:right w:w="0" w:type="dxa"/>
            </w:tcMar>
            <w:vAlign w:val="center"/>
          </w:tcPr>
          <w:p w14:paraId="3A8E8E53">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cs="Times New Roman"/>
                <w:sz w:val="24"/>
              </w:rPr>
            </w:pPr>
            <w:r>
              <w:rPr>
                <w:rFonts w:cs="Times New Roman"/>
                <w:sz w:val="24"/>
              </w:rPr>
              <w:t>—</w:t>
            </w:r>
          </w:p>
        </w:tc>
        <w:tc>
          <w:tcPr>
            <w:tcW w:w="1126" w:type="dxa"/>
            <w:tcMar>
              <w:top w:w="0" w:type="dxa"/>
              <w:left w:w="0" w:type="dxa"/>
              <w:bottom w:w="0" w:type="dxa"/>
              <w:right w:w="0" w:type="dxa"/>
            </w:tcMar>
            <w:vAlign w:val="center"/>
          </w:tcPr>
          <w:p w14:paraId="09F6E2B1">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cs="Times New Roman"/>
                <w:sz w:val="24"/>
              </w:rPr>
            </w:pPr>
            <w:r>
              <w:rPr>
                <w:rFonts w:cs="Times New Roman"/>
                <w:sz w:val="24"/>
              </w:rPr>
              <w:t>预期性</w:t>
            </w:r>
          </w:p>
        </w:tc>
      </w:tr>
      <w:tr w14:paraId="53F53C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884" w:type="dxa"/>
            <w:vMerge w:val="continue"/>
            <w:tcMar>
              <w:top w:w="0" w:type="dxa"/>
              <w:left w:w="57" w:type="dxa"/>
              <w:bottom w:w="0" w:type="dxa"/>
              <w:right w:w="57" w:type="dxa"/>
            </w:tcMar>
            <w:vAlign w:val="center"/>
          </w:tcPr>
          <w:p w14:paraId="0271D55F">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cs="Times New Roman"/>
                <w:sz w:val="24"/>
              </w:rPr>
            </w:pPr>
          </w:p>
        </w:tc>
        <w:tc>
          <w:tcPr>
            <w:tcW w:w="5234" w:type="dxa"/>
            <w:gridSpan w:val="3"/>
            <w:tcMar>
              <w:top w:w="0" w:type="dxa"/>
              <w:left w:w="57" w:type="dxa"/>
              <w:bottom w:w="0" w:type="dxa"/>
              <w:right w:w="57" w:type="dxa"/>
            </w:tcMar>
            <w:vAlign w:val="center"/>
          </w:tcPr>
          <w:p w14:paraId="641352DC">
            <w:pPr>
              <w:keepNext w:val="0"/>
              <w:keepLines w:val="0"/>
              <w:pageBreakBefore w:val="0"/>
              <w:widowControl w:val="0"/>
              <w:numPr>
                <w:ilvl w:val="0"/>
                <w:numId w:val="1"/>
              </w:numPr>
              <w:kinsoku/>
              <w:wordWrap/>
              <w:overflowPunct/>
              <w:topLinePunct w:val="0"/>
              <w:autoSpaceDE/>
              <w:autoSpaceDN/>
              <w:bidi w:val="0"/>
              <w:adjustRightInd/>
              <w:snapToGrid/>
              <w:spacing w:line="400" w:lineRule="exact"/>
              <w:ind w:firstLineChars="0"/>
              <w:textAlignment w:val="auto"/>
              <w:rPr>
                <w:rFonts w:cs="Times New Roman"/>
                <w:kern w:val="0"/>
                <w:sz w:val="24"/>
              </w:rPr>
            </w:pPr>
            <w:r>
              <w:rPr>
                <w:rFonts w:hint="eastAsia" w:cs="Times New Roman"/>
                <w:kern w:val="0"/>
                <w:sz w:val="24"/>
              </w:rPr>
              <w:t>规上数字经济核心产业企业营收占比</w:t>
            </w:r>
            <w:r>
              <w:rPr>
                <w:rFonts w:cs="Times New Roman"/>
                <w:kern w:val="0"/>
                <w:sz w:val="24"/>
              </w:rPr>
              <w:t>（%）</w:t>
            </w:r>
          </w:p>
        </w:tc>
        <w:tc>
          <w:tcPr>
            <w:tcW w:w="1120" w:type="dxa"/>
            <w:tcMar>
              <w:top w:w="0" w:type="dxa"/>
              <w:left w:w="0" w:type="dxa"/>
              <w:bottom w:w="0" w:type="dxa"/>
              <w:right w:w="0" w:type="dxa"/>
            </w:tcMar>
            <w:vAlign w:val="center"/>
          </w:tcPr>
          <w:p w14:paraId="545EA85A">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eastAsia="方正仿宋_GBK" w:cs="Times New Roman"/>
                <w:sz w:val="24"/>
              </w:rPr>
            </w:pPr>
            <w:r>
              <w:rPr>
                <w:rFonts w:cs="Times New Roman"/>
                <w:sz w:val="24"/>
              </w:rPr>
              <w:t>1</w:t>
            </w:r>
            <w:r>
              <w:rPr>
                <w:rFonts w:hint="eastAsia" w:cs="Times New Roman"/>
                <w:sz w:val="24"/>
              </w:rPr>
              <w:t>2.5</w:t>
            </w:r>
          </w:p>
        </w:tc>
        <w:tc>
          <w:tcPr>
            <w:tcW w:w="1186" w:type="dxa"/>
            <w:tcMar>
              <w:top w:w="0" w:type="dxa"/>
              <w:left w:w="0" w:type="dxa"/>
              <w:bottom w:w="0" w:type="dxa"/>
              <w:right w:w="0" w:type="dxa"/>
            </w:tcMar>
            <w:vAlign w:val="center"/>
          </w:tcPr>
          <w:p w14:paraId="4E6D5ACA">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cs="Times New Roman"/>
                <w:sz w:val="24"/>
              </w:rPr>
            </w:pPr>
            <w:r>
              <w:rPr>
                <w:rFonts w:cs="Times New Roman"/>
                <w:sz w:val="24"/>
              </w:rPr>
              <w:t>—</w:t>
            </w:r>
          </w:p>
        </w:tc>
        <w:tc>
          <w:tcPr>
            <w:tcW w:w="1126" w:type="dxa"/>
            <w:tcMar>
              <w:top w:w="0" w:type="dxa"/>
              <w:left w:w="0" w:type="dxa"/>
              <w:bottom w:w="0" w:type="dxa"/>
              <w:right w:w="0" w:type="dxa"/>
            </w:tcMar>
            <w:vAlign w:val="center"/>
          </w:tcPr>
          <w:p w14:paraId="5440C5E8">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cs="Times New Roman"/>
                <w:sz w:val="24"/>
              </w:rPr>
            </w:pPr>
            <w:r>
              <w:rPr>
                <w:rFonts w:cs="Times New Roman"/>
                <w:sz w:val="24"/>
              </w:rPr>
              <w:t>预期性</w:t>
            </w:r>
          </w:p>
        </w:tc>
      </w:tr>
      <w:tr w14:paraId="7983EB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884" w:type="dxa"/>
            <w:vMerge w:val="continue"/>
            <w:tcBorders>
              <w:bottom w:val="single" w:color="auto" w:sz="4" w:space="0"/>
            </w:tcBorders>
            <w:tcMar>
              <w:top w:w="0" w:type="dxa"/>
              <w:left w:w="57" w:type="dxa"/>
              <w:bottom w:w="0" w:type="dxa"/>
              <w:right w:w="57" w:type="dxa"/>
            </w:tcMar>
            <w:vAlign w:val="center"/>
          </w:tcPr>
          <w:p w14:paraId="022E7224">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cs="Times New Roman"/>
                <w:sz w:val="24"/>
              </w:rPr>
            </w:pPr>
          </w:p>
        </w:tc>
        <w:tc>
          <w:tcPr>
            <w:tcW w:w="5234" w:type="dxa"/>
            <w:gridSpan w:val="3"/>
            <w:tcBorders>
              <w:bottom w:val="single" w:color="auto" w:sz="4" w:space="0"/>
            </w:tcBorders>
            <w:tcMar>
              <w:top w:w="0" w:type="dxa"/>
              <w:left w:w="57" w:type="dxa"/>
              <w:bottom w:w="0" w:type="dxa"/>
              <w:right w:w="57" w:type="dxa"/>
            </w:tcMar>
            <w:vAlign w:val="center"/>
          </w:tcPr>
          <w:p w14:paraId="4ADD8B18">
            <w:pPr>
              <w:keepNext w:val="0"/>
              <w:keepLines w:val="0"/>
              <w:pageBreakBefore w:val="0"/>
              <w:widowControl w:val="0"/>
              <w:numPr>
                <w:ilvl w:val="0"/>
                <w:numId w:val="1"/>
              </w:numPr>
              <w:kinsoku/>
              <w:wordWrap/>
              <w:overflowPunct/>
              <w:topLinePunct w:val="0"/>
              <w:autoSpaceDE/>
              <w:autoSpaceDN/>
              <w:bidi w:val="0"/>
              <w:adjustRightInd/>
              <w:snapToGrid/>
              <w:spacing w:line="400" w:lineRule="exact"/>
              <w:ind w:firstLineChars="0"/>
              <w:textAlignment w:val="auto"/>
              <w:rPr>
                <w:rFonts w:eastAsia="方正仿宋_GBK" w:cs="Times New Roman"/>
                <w:kern w:val="0"/>
                <w:sz w:val="24"/>
              </w:rPr>
            </w:pPr>
            <w:r>
              <w:rPr>
                <w:rFonts w:cs="Times New Roman"/>
                <w:kern w:val="0"/>
                <w:sz w:val="24"/>
              </w:rPr>
              <w:t>规上生产性服务业</w:t>
            </w:r>
            <w:r>
              <w:rPr>
                <w:rFonts w:hint="eastAsia" w:cs="Times New Roman"/>
                <w:kern w:val="0"/>
                <w:sz w:val="24"/>
              </w:rPr>
              <w:t>营收增速</w:t>
            </w:r>
            <w:r>
              <w:rPr>
                <w:rFonts w:cs="Times New Roman"/>
                <w:kern w:val="0"/>
                <w:sz w:val="24"/>
              </w:rPr>
              <w:t>（%）</w:t>
            </w:r>
          </w:p>
        </w:tc>
        <w:tc>
          <w:tcPr>
            <w:tcW w:w="1120" w:type="dxa"/>
            <w:tcMar>
              <w:top w:w="0" w:type="dxa"/>
              <w:left w:w="0" w:type="dxa"/>
              <w:bottom w:w="0" w:type="dxa"/>
              <w:right w:w="0" w:type="dxa"/>
            </w:tcMar>
            <w:vAlign w:val="center"/>
          </w:tcPr>
          <w:p w14:paraId="302E0485">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cs="Times New Roman"/>
                <w:sz w:val="24"/>
              </w:rPr>
            </w:pPr>
            <w:r>
              <w:rPr>
                <w:rFonts w:cs="Times New Roman"/>
                <w:sz w:val="24"/>
              </w:rPr>
              <w:t>—</w:t>
            </w:r>
          </w:p>
        </w:tc>
        <w:tc>
          <w:tcPr>
            <w:tcW w:w="1186" w:type="dxa"/>
            <w:tcMar>
              <w:top w:w="0" w:type="dxa"/>
              <w:left w:w="0" w:type="dxa"/>
              <w:bottom w:w="0" w:type="dxa"/>
              <w:right w:w="0" w:type="dxa"/>
            </w:tcMar>
            <w:vAlign w:val="center"/>
          </w:tcPr>
          <w:p w14:paraId="707022E7">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eastAsia="方正仿宋_GBK" w:cs="Times New Roman"/>
                <w:sz w:val="24"/>
              </w:rPr>
            </w:pPr>
            <w:r>
              <w:rPr>
                <w:rFonts w:cs="Times New Roman"/>
                <w:sz w:val="24"/>
              </w:rPr>
              <w:t>9</w:t>
            </w:r>
          </w:p>
        </w:tc>
        <w:tc>
          <w:tcPr>
            <w:tcW w:w="1126" w:type="dxa"/>
            <w:tcMar>
              <w:top w:w="0" w:type="dxa"/>
              <w:left w:w="0" w:type="dxa"/>
              <w:bottom w:w="0" w:type="dxa"/>
              <w:right w:w="0" w:type="dxa"/>
            </w:tcMar>
            <w:vAlign w:val="center"/>
          </w:tcPr>
          <w:p w14:paraId="18F7E7CA">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cs="Times New Roman"/>
                <w:sz w:val="24"/>
              </w:rPr>
            </w:pPr>
            <w:r>
              <w:rPr>
                <w:rFonts w:cs="Times New Roman"/>
                <w:sz w:val="24"/>
              </w:rPr>
              <w:t>预期性</w:t>
            </w:r>
          </w:p>
        </w:tc>
      </w:tr>
      <w:tr w14:paraId="6B12F4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884" w:type="dxa"/>
            <w:vMerge w:val="restart"/>
            <w:tcBorders>
              <w:top w:val="single" w:color="auto" w:sz="4" w:space="0"/>
              <w:left w:val="single" w:color="auto" w:sz="4" w:space="0"/>
              <w:right w:val="single" w:color="auto" w:sz="4" w:space="0"/>
            </w:tcBorders>
            <w:tcMar>
              <w:top w:w="0" w:type="dxa"/>
              <w:left w:w="57" w:type="dxa"/>
              <w:bottom w:w="0" w:type="dxa"/>
              <w:right w:w="57" w:type="dxa"/>
            </w:tcMar>
            <w:vAlign w:val="center"/>
          </w:tcPr>
          <w:p w14:paraId="54E2F3EB">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eastAsia="方正仿宋_GBK" w:cs="Times New Roman"/>
                <w:sz w:val="24"/>
              </w:rPr>
            </w:pPr>
            <w:r>
              <w:rPr>
                <w:rFonts w:cs="Times New Roman"/>
                <w:sz w:val="24"/>
              </w:rPr>
              <w:t>百姓富</w:t>
            </w:r>
          </w:p>
        </w:tc>
        <w:tc>
          <w:tcPr>
            <w:tcW w:w="3791" w:type="dxa"/>
            <w:gridSpan w:val="2"/>
            <w:vMerge w:val="restart"/>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14:paraId="21B469E5">
            <w:pPr>
              <w:keepNext w:val="0"/>
              <w:keepLines w:val="0"/>
              <w:pageBreakBefore w:val="0"/>
              <w:widowControl w:val="0"/>
              <w:numPr>
                <w:ilvl w:val="0"/>
                <w:numId w:val="1"/>
              </w:numPr>
              <w:kinsoku/>
              <w:wordWrap/>
              <w:overflowPunct/>
              <w:topLinePunct w:val="0"/>
              <w:autoSpaceDE/>
              <w:autoSpaceDN/>
              <w:bidi w:val="0"/>
              <w:adjustRightInd/>
              <w:snapToGrid/>
              <w:spacing w:line="400" w:lineRule="exact"/>
              <w:ind w:firstLineChars="0"/>
              <w:textAlignment w:val="auto"/>
              <w:rPr>
                <w:rFonts w:cs="Times New Roman"/>
                <w:kern w:val="0"/>
                <w:sz w:val="24"/>
              </w:rPr>
            </w:pPr>
            <w:r>
              <w:rPr>
                <w:rFonts w:cs="Times New Roman"/>
                <w:kern w:val="0"/>
                <w:sz w:val="24"/>
              </w:rPr>
              <w:t>居民人均可支配收入增长（%）</w:t>
            </w:r>
          </w:p>
        </w:tc>
        <w:tc>
          <w:tcPr>
            <w:tcW w:w="144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14:paraId="214F42C5">
            <w:pPr>
              <w:keepNext w:val="0"/>
              <w:keepLines w:val="0"/>
              <w:pageBreakBefore w:val="0"/>
              <w:widowControl w:val="0"/>
              <w:numPr>
                <w:ilvl w:val="255"/>
                <w:numId w:val="0"/>
              </w:numPr>
              <w:kinsoku/>
              <w:wordWrap/>
              <w:overflowPunct/>
              <w:topLinePunct w:val="0"/>
              <w:autoSpaceDE/>
              <w:autoSpaceDN/>
              <w:bidi w:val="0"/>
              <w:adjustRightInd/>
              <w:snapToGrid/>
              <w:spacing w:line="400" w:lineRule="exact"/>
              <w:textAlignment w:val="auto"/>
              <w:rPr>
                <w:rFonts w:cs="Times New Roman"/>
                <w:kern w:val="0"/>
                <w:sz w:val="24"/>
              </w:rPr>
            </w:pPr>
            <w:r>
              <w:rPr>
                <w:rFonts w:cs="Times New Roman"/>
                <w:kern w:val="0"/>
                <w:sz w:val="24"/>
              </w:rPr>
              <w:t>城镇居民</w:t>
            </w:r>
          </w:p>
        </w:tc>
        <w:tc>
          <w:tcPr>
            <w:tcW w:w="1120" w:type="dxa"/>
            <w:tcBorders>
              <w:left w:val="single" w:color="auto" w:sz="4" w:space="0"/>
            </w:tcBorders>
            <w:tcMar>
              <w:top w:w="0" w:type="dxa"/>
              <w:left w:w="0" w:type="dxa"/>
              <w:bottom w:w="0" w:type="dxa"/>
              <w:right w:w="0" w:type="dxa"/>
            </w:tcMar>
            <w:vAlign w:val="center"/>
          </w:tcPr>
          <w:p w14:paraId="78C14B77">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cs="Times New Roman"/>
                <w:sz w:val="24"/>
              </w:rPr>
            </w:pPr>
            <w:r>
              <w:rPr>
                <w:rFonts w:cs="Times New Roman"/>
                <w:sz w:val="24"/>
              </w:rPr>
              <w:t>—</w:t>
            </w:r>
          </w:p>
        </w:tc>
        <w:tc>
          <w:tcPr>
            <w:tcW w:w="1186" w:type="dxa"/>
            <w:vMerge w:val="restart"/>
            <w:tcMar>
              <w:top w:w="0" w:type="dxa"/>
              <w:left w:w="0" w:type="dxa"/>
              <w:bottom w:w="0" w:type="dxa"/>
              <w:right w:w="0" w:type="dxa"/>
            </w:tcMar>
            <w:vAlign w:val="center"/>
          </w:tcPr>
          <w:p w14:paraId="2A791482">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cs="Times New Roman"/>
                <w:sz w:val="24"/>
              </w:rPr>
            </w:pPr>
            <w:r>
              <w:rPr>
                <w:rFonts w:hint="default" w:ascii="Times New Roman" w:hAnsi="Times New Roman" w:eastAsia="仿宋_GB2312" w:cs="Times New Roman"/>
                <w:sz w:val="24"/>
              </w:rPr>
              <w:t>与经济增长同步</w:t>
            </w:r>
          </w:p>
        </w:tc>
        <w:tc>
          <w:tcPr>
            <w:tcW w:w="1126" w:type="dxa"/>
            <w:vMerge w:val="restart"/>
            <w:tcMar>
              <w:top w:w="0" w:type="dxa"/>
              <w:left w:w="0" w:type="dxa"/>
              <w:bottom w:w="0" w:type="dxa"/>
              <w:right w:w="0" w:type="dxa"/>
            </w:tcMar>
            <w:vAlign w:val="center"/>
          </w:tcPr>
          <w:p w14:paraId="021497DF">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cs="Times New Roman"/>
                <w:sz w:val="24"/>
              </w:rPr>
            </w:pPr>
            <w:r>
              <w:rPr>
                <w:rFonts w:cs="Times New Roman"/>
                <w:sz w:val="24"/>
              </w:rPr>
              <w:t>预期性</w:t>
            </w:r>
          </w:p>
        </w:tc>
      </w:tr>
      <w:tr w14:paraId="1F2B89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884" w:type="dxa"/>
            <w:vMerge w:val="continue"/>
            <w:tcBorders>
              <w:left w:val="single" w:color="auto" w:sz="4" w:space="0"/>
              <w:right w:val="single" w:color="auto" w:sz="4" w:space="0"/>
            </w:tcBorders>
            <w:tcMar>
              <w:top w:w="0" w:type="dxa"/>
              <w:left w:w="57" w:type="dxa"/>
              <w:bottom w:w="0" w:type="dxa"/>
              <w:right w:w="57" w:type="dxa"/>
            </w:tcMar>
            <w:vAlign w:val="center"/>
          </w:tcPr>
          <w:p w14:paraId="514AA9F9">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cs="Times New Roman"/>
                <w:sz w:val="24"/>
              </w:rPr>
            </w:pPr>
          </w:p>
        </w:tc>
        <w:tc>
          <w:tcPr>
            <w:tcW w:w="3791" w:type="dxa"/>
            <w:gridSpan w:val="2"/>
            <w:vMerge w:val="continue"/>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14:paraId="386794B1">
            <w:pPr>
              <w:keepNext w:val="0"/>
              <w:keepLines w:val="0"/>
              <w:pageBreakBefore w:val="0"/>
              <w:widowControl w:val="0"/>
              <w:kinsoku/>
              <w:wordWrap/>
              <w:overflowPunct/>
              <w:topLinePunct w:val="0"/>
              <w:autoSpaceDE/>
              <w:autoSpaceDN/>
              <w:bidi w:val="0"/>
              <w:adjustRightInd/>
              <w:snapToGrid/>
              <w:spacing w:line="400" w:lineRule="exact"/>
              <w:ind w:firstLine="0" w:firstLineChars="0"/>
              <w:textAlignment w:val="auto"/>
              <w:rPr>
                <w:rFonts w:cs="Times New Roman"/>
                <w:kern w:val="0"/>
                <w:sz w:val="24"/>
              </w:rPr>
            </w:pPr>
          </w:p>
        </w:tc>
        <w:tc>
          <w:tcPr>
            <w:tcW w:w="1443" w:type="dxa"/>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14:paraId="78C01EF7">
            <w:pPr>
              <w:keepNext w:val="0"/>
              <w:keepLines w:val="0"/>
              <w:pageBreakBefore w:val="0"/>
              <w:widowControl w:val="0"/>
              <w:numPr>
                <w:ilvl w:val="255"/>
                <w:numId w:val="0"/>
              </w:numPr>
              <w:kinsoku/>
              <w:wordWrap/>
              <w:overflowPunct/>
              <w:topLinePunct w:val="0"/>
              <w:autoSpaceDE/>
              <w:autoSpaceDN/>
              <w:bidi w:val="0"/>
              <w:adjustRightInd/>
              <w:snapToGrid/>
              <w:spacing w:line="400" w:lineRule="exact"/>
              <w:textAlignment w:val="auto"/>
              <w:rPr>
                <w:rFonts w:eastAsia="方正仿宋_GBK" w:cs="Times New Roman"/>
                <w:kern w:val="0"/>
                <w:sz w:val="24"/>
              </w:rPr>
            </w:pPr>
            <w:r>
              <w:rPr>
                <w:rFonts w:cs="Times New Roman"/>
                <w:kern w:val="0"/>
                <w:sz w:val="24"/>
              </w:rPr>
              <w:t>农村居民</w:t>
            </w:r>
          </w:p>
        </w:tc>
        <w:tc>
          <w:tcPr>
            <w:tcW w:w="1120" w:type="dxa"/>
            <w:tcBorders>
              <w:left w:val="single" w:color="auto" w:sz="4" w:space="0"/>
            </w:tcBorders>
            <w:tcMar>
              <w:top w:w="0" w:type="dxa"/>
              <w:left w:w="0" w:type="dxa"/>
              <w:bottom w:w="0" w:type="dxa"/>
              <w:right w:w="0" w:type="dxa"/>
            </w:tcMar>
            <w:vAlign w:val="center"/>
          </w:tcPr>
          <w:p w14:paraId="7D70F3AC">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cs="Times New Roman"/>
                <w:sz w:val="24"/>
              </w:rPr>
            </w:pPr>
            <w:r>
              <w:rPr>
                <w:rFonts w:cs="Times New Roman"/>
                <w:sz w:val="24"/>
              </w:rPr>
              <w:t>—</w:t>
            </w:r>
          </w:p>
        </w:tc>
        <w:tc>
          <w:tcPr>
            <w:tcW w:w="1186" w:type="dxa"/>
            <w:vMerge w:val="continue"/>
            <w:tcMar>
              <w:top w:w="0" w:type="dxa"/>
              <w:left w:w="0" w:type="dxa"/>
              <w:bottom w:w="0" w:type="dxa"/>
              <w:right w:w="0" w:type="dxa"/>
            </w:tcMar>
            <w:vAlign w:val="center"/>
          </w:tcPr>
          <w:p w14:paraId="7140F6C2">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cs="Times New Roman"/>
                <w:sz w:val="24"/>
              </w:rPr>
            </w:pPr>
          </w:p>
        </w:tc>
        <w:tc>
          <w:tcPr>
            <w:tcW w:w="1126" w:type="dxa"/>
            <w:vMerge w:val="continue"/>
            <w:tcMar>
              <w:top w:w="0" w:type="dxa"/>
              <w:left w:w="0" w:type="dxa"/>
              <w:bottom w:w="0" w:type="dxa"/>
              <w:right w:w="0" w:type="dxa"/>
            </w:tcMar>
            <w:vAlign w:val="center"/>
          </w:tcPr>
          <w:p w14:paraId="64475242">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cs="Times New Roman"/>
                <w:sz w:val="24"/>
              </w:rPr>
            </w:pPr>
          </w:p>
        </w:tc>
      </w:tr>
      <w:tr w14:paraId="44CD7E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884" w:type="dxa"/>
            <w:vMerge w:val="continue"/>
            <w:tcBorders>
              <w:left w:val="single" w:color="auto" w:sz="4" w:space="0"/>
              <w:right w:val="single" w:color="auto" w:sz="4" w:space="0"/>
            </w:tcBorders>
            <w:tcMar>
              <w:top w:w="0" w:type="dxa"/>
              <w:left w:w="57" w:type="dxa"/>
              <w:bottom w:w="0" w:type="dxa"/>
              <w:right w:w="57" w:type="dxa"/>
            </w:tcMar>
            <w:vAlign w:val="center"/>
          </w:tcPr>
          <w:p w14:paraId="64456BC0">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cs="Times New Roman"/>
                <w:sz w:val="24"/>
              </w:rPr>
            </w:pPr>
          </w:p>
        </w:tc>
        <w:tc>
          <w:tcPr>
            <w:tcW w:w="5234" w:type="dxa"/>
            <w:gridSpan w:val="3"/>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14:paraId="56439691">
            <w:pPr>
              <w:keepNext w:val="0"/>
              <w:keepLines w:val="0"/>
              <w:pageBreakBefore w:val="0"/>
              <w:widowControl w:val="0"/>
              <w:numPr>
                <w:ilvl w:val="0"/>
                <w:numId w:val="1"/>
              </w:numPr>
              <w:kinsoku/>
              <w:wordWrap/>
              <w:overflowPunct/>
              <w:topLinePunct w:val="0"/>
              <w:autoSpaceDE/>
              <w:autoSpaceDN/>
              <w:bidi w:val="0"/>
              <w:adjustRightInd/>
              <w:snapToGrid/>
              <w:spacing w:line="400" w:lineRule="exact"/>
              <w:ind w:firstLineChars="0"/>
              <w:textAlignment w:val="auto"/>
              <w:rPr>
                <w:rFonts w:eastAsia="方正仿宋_GBK" w:cs="Times New Roman"/>
                <w:kern w:val="0"/>
                <w:sz w:val="24"/>
              </w:rPr>
            </w:pPr>
            <w:r>
              <w:rPr>
                <w:rFonts w:cs="Times New Roman"/>
                <w:kern w:val="0"/>
                <w:sz w:val="24"/>
              </w:rPr>
              <w:t>城镇新增就业人数（万人）</w:t>
            </w:r>
          </w:p>
        </w:tc>
        <w:tc>
          <w:tcPr>
            <w:tcW w:w="1120" w:type="dxa"/>
            <w:tcBorders>
              <w:left w:val="single" w:color="auto" w:sz="4" w:space="0"/>
            </w:tcBorders>
            <w:tcMar>
              <w:top w:w="0" w:type="dxa"/>
              <w:left w:w="0" w:type="dxa"/>
              <w:bottom w:w="0" w:type="dxa"/>
              <w:right w:w="0" w:type="dxa"/>
            </w:tcMar>
            <w:vAlign w:val="center"/>
          </w:tcPr>
          <w:p w14:paraId="79F40F24">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eastAsia="方正仿宋_GBK" w:cs="Times New Roman"/>
                <w:sz w:val="24"/>
              </w:rPr>
            </w:pPr>
            <w:r>
              <w:rPr>
                <w:rFonts w:cs="Times New Roman"/>
                <w:sz w:val="24"/>
              </w:rPr>
              <w:t>5</w:t>
            </w:r>
          </w:p>
        </w:tc>
        <w:tc>
          <w:tcPr>
            <w:tcW w:w="1186" w:type="dxa"/>
            <w:tcMar>
              <w:top w:w="0" w:type="dxa"/>
              <w:left w:w="0" w:type="dxa"/>
              <w:bottom w:w="0" w:type="dxa"/>
              <w:right w:w="0" w:type="dxa"/>
            </w:tcMar>
            <w:vAlign w:val="center"/>
          </w:tcPr>
          <w:p w14:paraId="22F5C972">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eastAsia="方正仿宋_GBK" w:cs="Times New Roman"/>
                <w:sz w:val="24"/>
              </w:rPr>
            </w:pPr>
            <w:r>
              <w:rPr>
                <w:rFonts w:cs="Times New Roman"/>
                <w:sz w:val="24"/>
              </w:rPr>
              <w:t>—</w:t>
            </w:r>
          </w:p>
        </w:tc>
        <w:tc>
          <w:tcPr>
            <w:tcW w:w="1126" w:type="dxa"/>
            <w:tcMar>
              <w:top w:w="0" w:type="dxa"/>
              <w:left w:w="0" w:type="dxa"/>
              <w:bottom w:w="0" w:type="dxa"/>
              <w:right w:w="0" w:type="dxa"/>
            </w:tcMar>
            <w:vAlign w:val="center"/>
          </w:tcPr>
          <w:p w14:paraId="4A3DED82">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eastAsia="方正仿宋_GBK" w:cs="Times New Roman"/>
                <w:sz w:val="24"/>
              </w:rPr>
            </w:pPr>
            <w:r>
              <w:rPr>
                <w:rFonts w:cs="Times New Roman"/>
                <w:sz w:val="24"/>
              </w:rPr>
              <w:t>预期性</w:t>
            </w:r>
          </w:p>
        </w:tc>
      </w:tr>
      <w:tr w14:paraId="1E086F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9" w:hRule="exact"/>
          <w:jc w:val="center"/>
        </w:trPr>
        <w:tc>
          <w:tcPr>
            <w:tcW w:w="884" w:type="dxa"/>
            <w:vMerge w:val="continue"/>
            <w:tcBorders>
              <w:left w:val="single" w:color="auto" w:sz="4" w:space="0"/>
              <w:right w:val="single" w:color="auto" w:sz="4" w:space="0"/>
            </w:tcBorders>
            <w:tcMar>
              <w:top w:w="0" w:type="dxa"/>
              <w:left w:w="57" w:type="dxa"/>
              <w:bottom w:w="0" w:type="dxa"/>
              <w:right w:w="57" w:type="dxa"/>
            </w:tcMar>
            <w:vAlign w:val="center"/>
          </w:tcPr>
          <w:p w14:paraId="1A8B16C0">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cs="Times New Roman"/>
                <w:sz w:val="24"/>
              </w:rPr>
            </w:pPr>
          </w:p>
        </w:tc>
        <w:tc>
          <w:tcPr>
            <w:tcW w:w="3273" w:type="dxa"/>
            <w:vMerge w:val="restart"/>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14:paraId="64F4969E">
            <w:pPr>
              <w:keepNext w:val="0"/>
              <w:keepLines w:val="0"/>
              <w:pageBreakBefore w:val="0"/>
              <w:widowControl w:val="0"/>
              <w:numPr>
                <w:ilvl w:val="0"/>
                <w:numId w:val="1"/>
              </w:numPr>
              <w:kinsoku/>
              <w:wordWrap/>
              <w:overflowPunct/>
              <w:topLinePunct w:val="0"/>
              <w:autoSpaceDE/>
              <w:autoSpaceDN/>
              <w:bidi w:val="0"/>
              <w:adjustRightInd/>
              <w:snapToGrid/>
              <w:spacing w:line="400" w:lineRule="exact"/>
              <w:ind w:firstLineChars="0"/>
              <w:textAlignment w:val="auto"/>
              <w:rPr>
                <w:rFonts w:cs="Times New Roman"/>
                <w:kern w:val="0"/>
                <w:sz w:val="24"/>
              </w:rPr>
            </w:pPr>
            <w:r>
              <w:rPr>
                <w:rFonts w:hint="eastAsia" w:ascii="仿宋_GB2312" w:hAnsi="仿宋_GB2312" w:eastAsia="仿宋_GB2312" w:cs="仿宋_GB2312"/>
                <w:kern w:val="0"/>
                <w:sz w:val="24"/>
              </w:rPr>
              <w:t>每千人口拥有医护人员数</w:t>
            </w:r>
          </w:p>
        </w:tc>
        <w:tc>
          <w:tcPr>
            <w:tcW w:w="1961" w:type="dxa"/>
            <w:gridSpan w:val="2"/>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14:paraId="1643278F">
            <w:pPr>
              <w:keepNext w:val="0"/>
              <w:keepLines w:val="0"/>
              <w:pageBreakBefore w:val="0"/>
              <w:widowControl w:val="0"/>
              <w:numPr>
                <w:ilvl w:val="255"/>
                <w:numId w:val="0"/>
              </w:numPr>
              <w:kinsoku/>
              <w:wordWrap/>
              <w:overflowPunct/>
              <w:topLinePunct w:val="0"/>
              <w:autoSpaceDE/>
              <w:autoSpaceDN/>
              <w:bidi w:val="0"/>
              <w:adjustRightInd/>
              <w:snapToGrid/>
              <w:spacing w:line="400" w:lineRule="exact"/>
              <w:textAlignment w:val="auto"/>
              <w:rPr>
                <w:rFonts w:eastAsia="方正仿宋_GBK" w:cs="Times New Roman"/>
                <w:kern w:val="0"/>
                <w:sz w:val="24"/>
              </w:rPr>
            </w:pPr>
            <w:r>
              <w:rPr>
                <w:rFonts w:cs="Times New Roman"/>
                <w:kern w:val="0"/>
                <w:sz w:val="24"/>
              </w:rPr>
              <w:t>执业医师数（人）</w:t>
            </w:r>
          </w:p>
        </w:tc>
        <w:tc>
          <w:tcPr>
            <w:tcW w:w="1120" w:type="dxa"/>
            <w:tcBorders>
              <w:left w:val="single" w:color="auto" w:sz="4" w:space="0"/>
            </w:tcBorders>
            <w:tcMar>
              <w:top w:w="0" w:type="dxa"/>
              <w:left w:w="0" w:type="dxa"/>
              <w:bottom w:w="0" w:type="dxa"/>
              <w:right w:w="0" w:type="dxa"/>
            </w:tcMar>
            <w:vAlign w:val="center"/>
          </w:tcPr>
          <w:p w14:paraId="29514B9A">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cs="Times New Roman"/>
                <w:sz w:val="24"/>
              </w:rPr>
            </w:pPr>
            <w:r>
              <w:rPr>
                <w:rFonts w:cs="Times New Roman"/>
                <w:sz w:val="24"/>
              </w:rPr>
              <w:t>3.5</w:t>
            </w:r>
          </w:p>
        </w:tc>
        <w:tc>
          <w:tcPr>
            <w:tcW w:w="1186" w:type="dxa"/>
            <w:vMerge w:val="restart"/>
            <w:tcMar>
              <w:top w:w="0" w:type="dxa"/>
              <w:left w:w="0" w:type="dxa"/>
              <w:bottom w:w="0" w:type="dxa"/>
              <w:right w:w="0" w:type="dxa"/>
            </w:tcMar>
            <w:vAlign w:val="center"/>
          </w:tcPr>
          <w:p w14:paraId="2ECE24B2">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cs="Times New Roman"/>
                <w:sz w:val="24"/>
              </w:rPr>
            </w:pPr>
            <w:r>
              <w:rPr>
                <w:rFonts w:cs="Times New Roman"/>
                <w:sz w:val="24"/>
              </w:rPr>
              <w:t>—</w:t>
            </w:r>
          </w:p>
        </w:tc>
        <w:tc>
          <w:tcPr>
            <w:tcW w:w="1126" w:type="dxa"/>
            <w:vMerge w:val="restart"/>
            <w:tcMar>
              <w:top w:w="0" w:type="dxa"/>
              <w:left w:w="0" w:type="dxa"/>
              <w:bottom w:w="0" w:type="dxa"/>
              <w:right w:w="0" w:type="dxa"/>
            </w:tcMar>
            <w:vAlign w:val="center"/>
          </w:tcPr>
          <w:p w14:paraId="35627AA9">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eastAsia="方正仿宋_GBK" w:cs="Times New Roman"/>
                <w:sz w:val="24"/>
              </w:rPr>
            </w:pPr>
            <w:r>
              <w:rPr>
                <w:rFonts w:cs="Times New Roman"/>
                <w:sz w:val="24"/>
              </w:rPr>
              <w:t>预期性</w:t>
            </w:r>
          </w:p>
        </w:tc>
      </w:tr>
      <w:tr w14:paraId="170A47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exact"/>
          <w:jc w:val="center"/>
        </w:trPr>
        <w:tc>
          <w:tcPr>
            <w:tcW w:w="884" w:type="dxa"/>
            <w:vMerge w:val="continue"/>
            <w:tcBorders>
              <w:left w:val="single" w:color="auto" w:sz="4" w:space="0"/>
              <w:right w:val="single" w:color="auto" w:sz="4" w:space="0"/>
            </w:tcBorders>
            <w:tcMar>
              <w:top w:w="0" w:type="dxa"/>
              <w:left w:w="57" w:type="dxa"/>
              <w:bottom w:w="0" w:type="dxa"/>
              <w:right w:w="57" w:type="dxa"/>
            </w:tcMar>
            <w:vAlign w:val="center"/>
          </w:tcPr>
          <w:p w14:paraId="44AA4DA1">
            <w:pPr>
              <w:keepNext w:val="0"/>
              <w:keepLines w:val="0"/>
              <w:pageBreakBefore w:val="0"/>
              <w:widowControl w:val="0"/>
              <w:kinsoku/>
              <w:wordWrap/>
              <w:overflowPunct/>
              <w:topLinePunct w:val="0"/>
              <w:autoSpaceDE/>
              <w:autoSpaceDN/>
              <w:bidi w:val="0"/>
              <w:adjustRightInd/>
              <w:snapToGrid/>
              <w:spacing w:line="400" w:lineRule="exact"/>
              <w:ind w:firstLine="0" w:firstLineChars="0"/>
              <w:textAlignment w:val="auto"/>
              <w:rPr>
                <w:rFonts w:cs="Times New Roman"/>
              </w:rPr>
            </w:pPr>
          </w:p>
        </w:tc>
        <w:tc>
          <w:tcPr>
            <w:tcW w:w="3273" w:type="dxa"/>
            <w:vMerge w:val="continue"/>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14:paraId="5470E1F1">
            <w:pPr>
              <w:keepNext w:val="0"/>
              <w:keepLines w:val="0"/>
              <w:pageBreakBefore w:val="0"/>
              <w:widowControl w:val="0"/>
              <w:kinsoku/>
              <w:wordWrap/>
              <w:overflowPunct/>
              <w:topLinePunct w:val="0"/>
              <w:autoSpaceDE/>
              <w:autoSpaceDN/>
              <w:bidi w:val="0"/>
              <w:adjustRightInd/>
              <w:snapToGrid/>
              <w:spacing w:line="400" w:lineRule="exact"/>
              <w:ind w:firstLine="0" w:firstLineChars="0"/>
              <w:textAlignment w:val="auto"/>
              <w:rPr>
                <w:rFonts w:cs="Times New Roman"/>
              </w:rPr>
            </w:pPr>
          </w:p>
        </w:tc>
        <w:tc>
          <w:tcPr>
            <w:tcW w:w="1961" w:type="dxa"/>
            <w:gridSpan w:val="2"/>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14:paraId="0998CD32">
            <w:pPr>
              <w:keepNext w:val="0"/>
              <w:keepLines w:val="0"/>
              <w:pageBreakBefore w:val="0"/>
              <w:widowControl w:val="0"/>
              <w:numPr>
                <w:ilvl w:val="255"/>
                <w:numId w:val="0"/>
              </w:numPr>
              <w:kinsoku/>
              <w:wordWrap/>
              <w:overflowPunct/>
              <w:topLinePunct w:val="0"/>
              <w:autoSpaceDE/>
              <w:autoSpaceDN/>
              <w:bidi w:val="0"/>
              <w:adjustRightInd/>
              <w:snapToGrid/>
              <w:spacing w:line="400" w:lineRule="exact"/>
              <w:textAlignment w:val="auto"/>
              <w:rPr>
                <w:rFonts w:eastAsia="方正仿宋_GBK" w:cs="Times New Roman"/>
                <w:kern w:val="0"/>
                <w:sz w:val="24"/>
              </w:rPr>
            </w:pPr>
            <w:r>
              <w:rPr>
                <w:rFonts w:cs="Times New Roman"/>
                <w:kern w:val="0"/>
                <w:sz w:val="24"/>
              </w:rPr>
              <w:t>注册护士数（人）</w:t>
            </w:r>
          </w:p>
        </w:tc>
        <w:tc>
          <w:tcPr>
            <w:tcW w:w="1120" w:type="dxa"/>
            <w:tcBorders>
              <w:left w:val="single" w:color="auto" w:sz="4" w:space="0"/>
            </w:tcBorders>
            <w:tcMar>
              <w:top w:w="0" w:type="dxa"/>
              <w:left w:w="0" w:type="dxa"/>
              <w:bottom w:w="0" w:type="dxa"/>
              <w:right w:w="0" w:type="dxa"/>
            </w:tcMar>
            <w:vAlign w:val="center"/>
          </w:tcPr>
          <w:p w14:paraId="4604A731">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eastAsia="方正仿宋_GBK" w:cs="Times New Roman"/>
                <w:kern w:val="0"/>
                <w:sz w:val="24"/>
              </w:rPr>
            </w:pPr>
            <w:r>
              <w:rPr>
                <w:rFonts w:cs="Times New Roman"/>
                <w:kern w:val="0"/>
                <w:sz w:val="24"/>
              </w:rPr>
              <w:t>3.2</w:t>
            </w:r>
          </w:p>
        </w:tc>
        <w:tc>
          <w:tcPr>
            <w:tcW w:w="1186" w:type="dxa"/>
            <w:vMerge w:val="continue"/>
            <w:tcMar>
              <w:top w:w="0" w:type="dxa"/>
              <w:left w:w="0" w:type="dxa"/>
              <w:bottom w:w="0" w:type="dxa"/>
              <w:right w:w="0" w:type="dxa"/>
            </w:tcMar>
            <w:vAlign w:val="center"/>
          </w:tcPr>
          <w:p w14:paraId="3B8EED33">
            <w:pPr>
              <w:keepNext w:val="0"/>
              <w:keepLines w:val="0"/>
              <w:pageBreakBefore w:val="0"/>
              <w:widowControl w:val="0"/>
              <w:kinsoku/>
              <w:wordWrap/>
              <w:overflowPunct/>
              <w:topLinePunct w:val="0"/>
              <w:autoSpaceDE/>
              <w:autoSpaceDN/>
              <w:bidi w:val="0"/>
              <w:adjustRightInd/>
              <w:snapToGrid/>
              <w:spacing w:line="400" w:lineRule="exact"/>
              <w:ind w:firstLine="0" w:firstLineChars="0"/>
              <w:textAlignment w:val="auto"/>
              <w:rPr>
                <w:rFonts w:eastAsia="方正仿宋_GBK" w:cs="Times New Roman"/>
                <w:kern w:val="0"/>
                <w:sz w:val="24"/>
              </w:rPr>
            </w:pPr>
          </w:p>
        </w:tc>
        <w:tc>
          <w:tcPr>
            <w:tcW w:w="1126" w:type="dxa"/>
            <w:vMerge w:val="continue"/>
            <w:tcMar>
              <w:top w:w="0" w:type="dxa"/>
              <w:left w:w="0" w:type="dxa"/>
              <w:bottom w:w="0" w:type="dxa"/>
              <w:right w:w="0" w:type="dxa"/>
            </w:tcMar>
            <w:vAlign w:val="center"/>
          </w:tcPr>
          <w:p w14:paraId="752E94AB">
            <w:pPr>
              <w:keepNext w:val="0"/>
              <w:keepLines w:val="0"/>
              <w:pageBreakBefore w:val="0"/>
              <w:widowControl w:val="0"/>
              <w:kinsoku/>
              <w:wordWrap/>
              <w:overflowPunct/>
              <w:topLinePunct w:val="0"/>
              <w:autoSpaceDE/>
              <w:autoSpaceDN/>
              <w:bidi w:val="0"/>
              <w:adjustRightInd/>
              <w:snapToGrid/>
              <w:spacing w:line="400" w:lineRule="exact"/>
              <w:ind w:firstLine="0" w:firstLineChars="0"/>
              <w:textAlignment w:val="auto"/>
              <w:rPr>
                <w:rFonts w:eastAsia="方正仿宋_GBK" w:cs="Times New Roman"/>
                <w:kern w:val="0"/>
                <w:sz w:val="24"/>
              </w:rPr>
            </w:pPr>
          </w:p>
        </w:tc>
      </w:tr>
      <w:tr w14:paraId="4BE039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884" w:type="dxa"/>
            <w:vMerge w:val="continue"/>
            <w:tcBorders>
              <w:left w:val="single" w:color="auto" w:sz="4" w:space="0"/>
              <w:right w:val="single" w:color="auto" w:sz="4" w:space="0"/>
            </w:tcBorders>
            <w:tcMar>
              <w:top w:w="0" w:type="dxa"/>
              <w:left w:w="57" w:type="dxa"/>
              <w:bottom w:w="0" w:type="dxa"/>
              <w:right w:w="57" w:type="dxa"/>
            </w:tcMar>
            <w:vAlign w:val="center"/>
          </w:tcPr>
          <w:p w14:paraId="0064E7C5">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cs="Times New Roman"/>
                <w:sz w:val="24"/>
              </w:rPr>
            </w:pPr>
          </w:p>
        </w:tc>
        <w:tc>
          <w:tcPr>
            <w:tcW w:w="5234" w:type="dxa"/>
            <w:gridSpan w:val="3"/>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14:paraId="3A1C18E1">
            <w:pPr>
              <w:keepNext w:val="0"/>
              <w:keepLines w:val="0"/>
              <w:pageBreakBefore w:val="0"/>
              <w:widowControl w:val="0"/>
              <w:numPr>
                <w:ilvl w:val="0"/>
                <w:numId w:val="1"/>
              </w:numPr>
              <w:kinsoku/>
              <w:wordWrap/>
              <w:overflowPunct/>
              <w:topLinePunct w:val="0"/>
              <w:autoSpaceDE/>
              <w:autoSpaceDN/>
              <w:bidi w:val="0"/>
              <w:adjustRightInd/>
              <w:snapToGrid/>
              <w:spacing w:line="400" w:lineRule="exact"/>
              <w:ind w:firstLineChars="0"/>
              <w:textAlignment w:val="auto"/>
              <w:rPr>
                <w:rFonts w:eastAsia="方正仿宋_GBK" w:cs="Times New Roman"/>
                <w:kern w:val="0"/>
                <w:sz w:val="24"/>
              </w:rPr>
            </w:pPr>
            <w:r>
              <w:rPr>
                <w:rFonts w:cs="Times New Roman"/>
                <w:kern w:val="0"/>
                <w:sz w:val="24"/>
              </w:rPr>
              <w:t>养老机构护理型床位占比（%）</w:t>
            </w:r>
          </w:p>
        </w:tc>
        <w:tc>
          <w:tcPr>
            <w:tcW w:w="1120" w:type="dxa"/>
            <w:tcBorders>
              <w:left w:val="single" w:color="auto" w:sz="4" w:space="0"/>
            </w:tcBorders>
            <w:tcMar>
              <w:top w:w="0" w:type="dxa"/>
              <w:left w:w="0" w:type="dxa"/>
              <w:bottom w:w="0" w:type="dxa"/>
              <w:right w:w="0" w:type="dxa"/>
            </w:tcMar>
            <w:vAlign w:val="center"/>
          </w:tcPr>
          <w:p w14:paraId="62F33EF0">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cs="Times New Roman"/>
                <w:sz w:val="24"/>
              </w:rPr>
            </w:pPr>
            <w:r>
              <w:rPr>
                <w:rFonts w:hint="eastAsia" w:cs="Times New Roman"/>
                <w:sz w:val="24"/>
              </w:rPr>
              <w:t>75</w:t>
            </w:r>
          </w:p>
        </w:tc>
        <w:tc>
          <w:tcPr>
            <w:tcW w:w="1186" w:type="dxa"/>
            <w:tcMar>
              <w:top w:w="0" w:type="dxa"/>
              <w:left w:w="0" w:type="dxa"/>
              <w:bottom w:w="0" w:type="dxa"/>
              <w:right w:w="0" w:type="dxa"/>
            </w:tcMar>
            <w:vAlign w:val="center"/>
          </w:tcPr>
          <w:p w14:paraId="28C26531">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cs="Times New Roman"/>
                <w:sz w:val="24"/>
              </w:rPr>
            </w:pPr>
            <w:r>
              <w:rPr>
                <w:rFonts w:cs="Times New Roman"/>
                <w:sz w:val="24"/>
              </w:rPr>
              <w:t>—</w:t>
            </w:r>
          </w:p>
        </w:tc>
        <w:tc>
          <w:tcPr>
            <w:tcW w:w="1126" w:type="dxa"/>
            <w:tcMar>
              <w:top w:w="0" w:type="dxa"/>
              <w:left w:w="0" w:type="dxa"/>
              <w:bottom w:w="0" w:type="dxa"/>
              <w:right w:w="0" w:type="dxa"/>
            </w:tcMar>
            <w:vAlign w:val="center"/>
          </w:tcPr>
          <w:p w14:paraId="44B0C0C6">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cs="Times New Roman"/>
                <w:sz w:val="24"/>
              </w:rPr>
            </w:pPr>
            <w:r>
              <w:rPr>
                <w:rFonts w:cs="Times New Roman"/>
                <w:sz w:val="24"/>
              </w:rPr>
              <w:t>预期性</w:t>
            </w:r>
          </w:p>
        </w:tc>
      </w:tr>
      <w:tr w14:paraId="20B60F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884" w:type="dxa"/>
            <w:vMerge w:val="continue"/>
            <w:tcBorders>
              <w:left w:val="single" w:color="auto" w:sz="4" w:space="0"/>
              <w:right w:val="single" w:color="auto" w:sz="4" w:space="0"/>
            </w:tcBorders>
            <w:tcMar>
              <w:top w:w="0" w:type="dxa"/>
              <w:left w:w="57" w:type="dxa"/>
              <w:bottom w:w="0" w:type="dxa"/>
              <w:right w:w="57" w:type="dxa"/>
            </w:tcMar>
            <w:vAlign w:val="center"/>
          </w:tcPr>
          <w:p w14:paraId="74129D0F">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cs="Times New Roman"/>
                <w:sz w:val="24"/>
              </w:rPr>
            </w:pPr>
          </w:p>
        </w:tc>
        <w:tc>
          <w:tcPr>
            <w:tcW w:w="5234" w:type="dxa"/>
            <w:gridSpan w:val="3"/>
            <w:tcBorders>
              <w:top w:val="single" w:color="auto" w:sz="4" w:space="0"/>
              <w:left w:val="single" w:color="auto" w:sz="4" w:space="0"/>
              <w:bottom w:val="single" w:color="auto" w:sz="4" w:space="0"/>
              <w:right w:val="single" w:color="auto" w:sz="4" w:space="0"/>
            </w:tcBorders>
            <w:tcMar>
              <w:top w:w="0" w:type="dxa"/>
              <w:left w:w="57" w:type="dxa"/>
              <w:bottom w:w="0" w:type="dxa"/>
              <w:right w:w="57" w:type="dxa"/>
            </w:tcMar>
            <w:vAlign w:val="center"/>
          </w:tcPr>
          <w:p w14:paraId="09202D28">
            <w:pPr>
              <w:keepNext w:val="0"/>
              <w:keepLines w:val="0"/>
              <w:pageBreakBefore w:val="0"/>
              <w:widowControl w:val="0"/>
              <w:numPr>
                <w:ilvl w:val="0"/>
                <w:numId w:val="1"/>
              </w:numPr>
              <w:kinsoku/>
              <w:wordWrap/>
              <w:overflowPunct/>
              <w:topLinePunct w:val="0"/>
              <w:autoSpaceDE/>
              <w:autoSpaceDN/>
              <w:bidi w:val="0"/>
              <w:adjustRightInd/>
              <w:snapToGrid/>
              <w:spacing w:line="400" w:lineRule="exact"/>
              <w:ind w:firstLineChars="0"/>
              <w:textAlignment w:val="auto"/>
              <w:rPr>
                <w:rFonts w:cs="Times New Roman"/>
                <w:kern w:val="0"/>
                <w:sz w:val="24"/>
              </w:rPr>
            </w:pPr>
            <w:r>
              <w:rPr>
                <w:rFonts w:cs="Times New Roman"/>
                <w:kern w:val="0"/>
                <w:sz w:val="24"/>
              </w:rPr>
              <w:t>3岁以下婴幼儿入托率（%）</w:t>
            </w:r>
          </w:p>
        </w:tc>
        <w:tc>
          <w:tcPr>
            <w:tcW w:w="1120" w:type="dxa"/>
            <w:tcBorders>
              <w:left w:val="single" w:color="auto" w:sz="4" w:space="0"/>
            </w:tcBorders>
            <w:tcMar>
              <w:top w:w="0" w:type="dxa"/>
              <w:left w:w="0" w:type="dxa"/>
              <w:bottom w:w="0" w:type="dxa"/>
              <w:right w:w="0" w:type="dxa"/>
            </w:tcMar>
            <w:vAlign w:val="center"/>
          </w:tcPr>
          <w:p w14:paraId="32710FCE">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cs="Times New Roman"/>
                <w:sz w:val="24"/>
              </w:rPr>
            </w:pPr>
            <w:r>
              <w:rPr>
                <w:rFonts w:cs="Times New Roman"/>
                <w:sz w:val="24"/>
              </w:rPr>
              <w:t>25</w:t>
            </w:r>
          </w:p>
        </w:tc>
        <w:tc>
          <w:tcPr>
            <w:tcW w:w="1186" w:type="dxa"/>
            <w:tcMar>
              <w:top w:w="0" w:type="dxa"/>
              <w:left w:w="0" w:type="dxa"/>
              <w:bottom w:w="0" w:type="dxa"/>
              <w:right w:w="0" w:type="dxa"/>
            </w:tcMar>
            <w:vAlign w:val="center"/>
          </w:tcPr>
          <w:p w14:paraId="3678151F">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cs="Times New Roman"/>
                <w:sz w:val="24"/>
              </w:rPr>
            </w:pPr>
            <w:r>
              <w:rPr>
                <w:rFonts w:cs="Times New Roman"/>
                <w:sz w:val="24"/>
              </w:rPr>
              <w:t>—</w:t>
            </w:r>
          </w:p>
        </w:tc>
        <w:tc>
          <w:tcPr>
            <w:tcW w:w="1126" w:type="dxa"/>
            <w:tcMar>
              <w:top w:w="0" w:type="dxa"/>
              <w:left w:w="0" w:type="dxa"/>
              <w:bottom w:w="0" w:type="dxa"/>
              <w:right w:w="0" w:type="dxa"/>
            </w:tcMar>
            <w:vAlign w:val="center"/>
          </w:tcPr>
          <w:p w14:paraId="37CF2473">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cs="Times New Roman"/>
                <w:sz w:val="24"/>
              </w:rPr>
            </w:pPr>
            <w:r>
              <w:rPr>
                <w:rFonts w:cs="Times New Roman"/>
                <w:sz w:val="24"/>
              </w:rPr>
              <w:t>预期性</w:t>
            </w:r>
          </w:p>
        </w:tc>
      </w:tr>
      <w:tr w14:paraId="116303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884" w:type="dxa"/>
            <w:vMerge w:val="continue"/>
            <w:tcBorders>
              <w:left w:val="single" w:color="auto" w:sz="4" w:space="0"/>
              <w:right w:val="single" w:color="auto" w:sz="4" w:space="0"/>
            </w:tcBorders>
            <w:tcMar>
              <w:top w:w="0" w:type="dxa"/>
              <w:left w:w="57" w:type="dxa"/>
              <w:bottom w:w="0" w:type="dxa"/>
              <w:right w:w="57" w:type="dxa"/>
            </w:tcMar>
            <w:vAlign w:val="center"/>
          </w:tcPr>
          <w:p w14:paraId="0381F0F3">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cs="Times New Roman"/>
                <w:sz w:val="24"/>
              </w:rPr>
            </w:pPr>
          </w:p>
        </w:tc>
        <w:tc>
          <w:tcPr>
            <w:tcW w:w="5234" w:type="dxa"/>
            <w:gridSpan w:val="3"/>
            <w:tcBorders>
              <w:top w:val="single" w:color="auto" w:sz="4" w:space="0"/>
            </w:tcBorders>
            <w:tcMar>
              <w:top w:w="0" w:type="dxa"/>
              <w:left w:w="57" w:type="dxa"/>
              <w:bottom w:w="0" w:type="dxa"/>
              <w:right w:w="57" w:type="dxa"/>
            </w:tcMar>
            <w:vAlign w:val="center"/>
          </w:tcPr>
          <w:p w14:paraId="2B0557DF">
            <w:pPr>
              <w:keepNext w:val="0"/>
              <w:keepLines w:val="0"/>
              <w:pageBreakBefore w:val="0"/>
              <w:widowControl w:val="0"/>
              <w:numPr>
                <w:ilvl w:val="0"/>
                <w:numId w:val="1"/>
              </w:numPr>
              <w:kinsoku/>
              <w:wordWrap/>
              <w:overflowPunct/>
              <w:topLinePunct w:val="0"/>
              <w:autoSpaceDE/>
              <w:autoSpaceDN/>
              <w:bidi w:val="0"/>
              <w:adjustRightInd/>
              <w:snapToGrid/>
              <w:spacing w:line="400" w:lineRule="exact"/>
              <w:ind w:firstLineChars="0"/>
              <w:textAlignment w:val="auto"/>
              <w:rPr>
                <w:rFonts w:cs="Times New Roman"/>
                <w:kern w:val="0"/>
                <w:sz w:val="24"/>
              </w:rPr>
            </w:pPr>
            <w:r>
              <w:rPr>
                <w:rFonts w:cs="Times New Roman"/>
                <w:kern w:val="0"/>
                <w:sz w:val="24"/>
              </w:rPr>
              <w:t>人均预期寿命（岁）</w:t>
            </w:r>
          </w:p>
        </w:tc>
        <w:tc>
          <w:tcPr>
            <w:tcW w:w="1120" w:type="dxa"/>
            <w:tcMar>
              <w:top w:w="0" w:type="dxa"/>
              <w:left w:w="0" w:type="dxa"/>
              <w:bottom w:w="0" w:type="dxa"/>
              <w:right w:w="0" w:type="dxa"/>
            </w:tcMar>
            <w:vAlign w:val="center"/>
          </w:tcPr>
          <w:p w14:paraId="0708C554">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cs="Times New Roman"/>
                <w:sz w:val="24"/>
              </w:rPr>
            </w:pPr>
            <w:r>
              <w:rPr>
                <w:rFonts w:cs="Times New Roman"/>
                <w:sz w:val="24"/>
              </w:rPr>
              <w:t>83</w:t>
            </w:r>
          </w:p>
        </w:tc>
        <w:tc>
          <w:tcPr>
            <w:tcW w:w="1186" w:type="dxa"/>
            <w:tcMar>
              <w:top w:w="0" w:type="dxa"/>
              <w:left w:w="0" w:type="dxa"/>
              <w:bottom w:w="0" w:type="dxa"/>
              <w:right w:w="0" w:type="dxa"/>
            </w:tcMar>
            <w:vAlign w:val="center"/>
          </w:tcPr>
          <w:p w14:paraId="7686EDA5">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cs="Times New Roman"/>
                <w:sz w:val="24"/>
              </w:rPr>
            </w:pPr>
            <w:r>
              <w:rPr>
                <w:rFonts w:cs="Times New Roman"/>
                <w:sz w:val="24"/>
              </w:rPr>
              <w:t>—</w:t>
            </w:r>
          </w:p>
        </w:tc>
        <w:tc>
          <w:tcPr>
            <w:tcW w:w="1126" w:type="dxa"/>
            <w:tcMar>
              <w:top w:w="0" w:type="dxa"/>
              <w:left w:w="0" w:type="dxa"/>
              <w:bottom w:w="0" w:type="dxa"/>
              <w:right w:w="0" w:type="dxa"/>
            </w:tcMar>
            <w:vAlign w:val="center"/>
          </w:tcPr>
          <w:p w14:paraId="3157D3BF">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cs="Times New Roman"/>
                <w:sz w:val="24"/>
              </w:rPr>
            </w:pPr>
            <w:r>
              <w:rPr>
                <w:rFonts w:cs="Times New Roman"/>
                <w:sz w:val="24"/>
              </w:rPr>
              <w:t>预期性</w:t>
            </w:r>
          </w:p>
        </w:tc>
      </w:tr>
      <w:tr w14:paraId="535F11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2" w:hRule="atLeast"/>
          <w:jc w:val="center"/>
        </w:trPr>
        <w:tc>
          <w:tcPr>
            <w:tcW w:w="884" w:type="dxa"/>
            <w:vMerge w:val="restart"/>
            <w:tcMar>
              <w:top w:w="0" w:type="dxa"/>
              <w:left w:w="57" w:type="dxa"/>
              <w:bottom w:w="0" w:type="dxa"/>
              <w:right w:w="57" w:type="dxa"/>
            </w:tcMar>
            <w:vAlign w:val="center"/>
          </w:tcPr>
          <w:p w14:paraId="1E7CD4EC">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cs="Times New Roman"/>
                <w:sz w:val="24"/>
              </w:rPr>
            </w:pPr>
            <w:r>
              <w:rPr>
                <w:rFonts w:cs="Times New Roman"/>
                <w:sz w:val="24"/>
              </w:rPr>
              <w:t>环境美</w:t>
            </w:r>
          </w:p>
        </w:tc>
        <w:tc>
          <w:tcPr>
            <w:tcW w:w="5234" w:type="dxa"/>
            <w:gridSpan w:val="3"/>
            <w:tcMar>
              <w:top w:w="0" w:type="dxa"/>
              <w:left w:w="57" w:type="dxa"/>
              <w:bottom w:w="0" w:type="dxa"/>
              <w:right w:w="57" w:type="dxa"/>
            </w:tcMar>
            <w:vAlign w:val="center"/>
          </w:tcPr>
          <w:p w14:paraId="36012ED6">
            <w:pPr>
              <w:keepNext w:val="0"/>
              <w:keepLines w:val="0"/>
              <w:pageBreakBefore w:val="0"/>
              <w:widowControl w:val="0"/>
              <w:numPr>
                <w:ilvl w:val="0"/>
                <w:numId w:val="1"/>
              </w:numPr>
              <w:kinsoku/>
              <w:wordWrap/>
              <w:overflowPunct/>
              <w:topLinePunct w:val="0"/>
              <w:autoSpaceDE/>
              <w:autoSpaceDN/>
              <w:bidi w:val="0"/>
              <w:adjustRightInd/>
              <w:snapToGrid/>
              <w:spacing w:line="400" w:lineRule="exact"/>
              <w:ind w:firstLineChars="0"/>
              <w:textAlignment w:val="auto"/>
              <w:rPr>
                <w:rFonts w:cs="Times New Roman"/>
                <w:kern w:val="0"/>
                <w:sz w:val="24"/>
              </w:rPr>
            </w:pPr>
            <w:r>
              <w:rPr>
                <w:rFonts w:cs="Times New Roman"/>
                <w:kern w:val="0"/>
                <w:sz w:val="24"/>
              </w:rPr>
              <w:t>单位GDP二氧化碳排放降低（%）</w:t>
            </w:r>
          </w:p>
        </w:tc>
        <w:tc>
          <w:tcPr>
            <w:tcW w:w="1120" w:type="dxa"/>
            <w:tcMar>
              <w:top w:w="0" w:type="dxa"/>
              <w:left w:w="0" w:type="dxa"/>
              <w:bottom w:w="0" w:type="dxa"/>
              <w:right w:w="0" w:type="dxa"/>
            </w:tcMar>
            <w:vAlign w:val="center"/>
          </w:tcPr>
          <w:p w14:paraId="666E9E0F">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eastAsia="方正仿宋_GBK" w:cs="Times New Roman"/>
                <w:sz w:val="24"/>
              </w:rPr>
            </w:pPr>
            <w:r>
              <w:rPr>
                <w:rFonts w:cs="Times New Roman"/>
                <w:sz w:val="24"/>
              </w:rPr>
              <w:t>—</w:t>
            </w:r>
          </w:p>
        </w:tc>
        <w:tc>
          <w:tcPr>
            <w:tcW w:w="1186" w:type="dxa"/>
            <w:tcMar>
              <w:top w:w="0" w:type="dxa"/>
              <w:left w:w="0" w:type="dxa"/>
              <w:bottom w:w="0" w:type="dxa"/>
              <w:right w:w="0" w:type="dxa"/>
            </w:tcMar>
            <w:vAlign w:val="center"/>
          </w:tcPr>
          <w:p w14:paraId="3CB288E1">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cs="Times New Roman"/>
                <w:sz w:val="24"/>
              </w:rPr>
            </w:pPr>
            <w:r>
              <w:rPr>
                <w:rFonts w:cs="Times New Roman"/>
                <w:sz w:val="24"/>
              </w:rPr>
              <w:t>[完成省市任务]</w:t>
            </w:r>
          </w:p>
        </w:tc>
        <w:tc>
          <w:tcPr>
            <w:tcW w:w="1126" w:type="dxa"/>
            <w:tcMar>
              <w:top w:w="0" w:type="dxa"/>
              <w:left w:w="0" w:type="dxa"/>
              <w:bottom w:w="0" w:type="dxa"/>
              <w:right w:w="0" w:type="dxa"/>
            </w:tcMar>
            <w:vAlign w:val="center"/>
          </w:tcPr>
          <w:p w14:paraId="2839FB01">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cs="Times New Roman"/>
                <w:sz w:val="24"/>
              </w:rPr>
            </w:pPr>
            <w:r>
              <w:rPr>
                <w:rFonts w:cs="Times New Roman"/>
                <w:sz w:val="24"/>
              </w:rPr>
              <w:t>约束性</w:t>
            </w:r>
          </w:p>
        </w:tc>
      </w:tr>
      <w:tr w14:paraId="02F571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jc w:val="center"/>
        </w:trPr>
        <w:tc>
          <w:tcPr>
            <w:tcW w:w="884" w:type="dxa"/>
            <w:vMerge w:val="continue"/>
            <w:tcMar>
              <w:top w:w="0" w:type="dxa"/>
              <w:left w:w="57" w:type="dxa"/>
              <w:bottom w:w="0" w:type="dxa"/>
              <w:right w:w="57" w:type="dxa"/>
            </w:tcMar>
            <w:vAlign w:val="center"/>
          </w:tcPr>
          <w:p w14:paraId="0141A201">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cs="Times New Roman"/>
                <w:sz w:val="24"/>
              </w:rPr>
            </w:pPr>
          </w:p>
        </w:tc>
        <w:tc>
          <w:tcPr>
            <w:tcW w:w="5234" w:type="dxa"/>
            <w:gridSpan w:val="3"/>
            <w:tcMar>
              <w:top w:w="0" w:type="dxa"/>
              <w:left w:w="57" w:type="dxa"/>
              <w:bottom w:w="0" w:type="dxa"/>
              <w:right w:w="57" w:type="dxa"/>
            </w:tcMar>
            <w:vAlign w:val="center"/>
          </w:tcPr>
          <w:p w14:paraId="4DF0AF58">
            <w:pPr>
              <w:keepNext w:val="0"/>
              <w:keepLines w:val="0"/>
              <w:pageBreakBefore w:val="0"/>
              <w:widowControl w:val="0"/>
              <w:numPr>
                <w:ilvl w:val="0"/>
                <w:numId w:val="1"/>
              </w:numPr>
              <w:kinsoku/>
              <w:wordWrap/>
              <w:overflowPunct/>
              <w:topLinePunct w:val="0"/>
              <w:autoSpaceDE/>
              <w:autoSpaceDN/>
              <w:bidi w:val="0"/>
              <w:adjustRightInd/>
              <w:snapToGrid/>
              <w:spacing w:line="400" w:lineRule="exact"/>
              <w:ind w:firstLineChars="0"/>
              <w:textAlignment w:val="auto"/>
              <w:rPr>
                <w:rFonts w:eastAsia="方正仿宋_GBK" w:cs="Times New Roman"/>
                <w:kern w:val="0"/>
                <w:sz w:val="24"/>
              </w:rPr>
            </w:pPr>
            <w:r>
              <w:rPr>
                <w:rFonts w:cs="Times New Roman"/>
                <w:kern w:val="0"/>
                <w:sz w:val="24"/>
              </w:rPr>
              <w:t>PM</w:t>
            </w:r>
            <w:r>
              <w:rPr>
                <w:rFonts w:cs="Times New Roman"/>
                <w:kern w:val="0"/>
                <w:sz w:val="24"/>
                <w:vertAlign w:val="subscript"/>
              </w:rPr>
              <w:t>2.5</w:t>
            </w:r>
            <w:r>
              <w:rPr>
                <w:rFonts w:cs="Times New Roman"/>
                <w:kern w:val="0"/>
                <w:sz w:val="24"/>
              </w:rPr>
              <w:t>浓度（微克/立方米）</w:t>
            </w:r>
          </w:p>
        </w:tc>
        <w:tc>
          <w:tcPr>
            <w:tcW w:w="1120" w:type="dxa"/>
            <w:tcMar>
              <w:top w:w="0" w:type="dxa"/>
              <w:left w:w="0" w:type="dxa"/>
              <w:bottom w:w="0" w:type="dxa"/>
              <w:right w:w="0" w:type="dxa"/>
            </w:tcMar>
            <w:vAlign w:val="center"/>
          </w:tcPr>
          <w:p w14:paraId="2583988A">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cs="Times New Roman"/>
                <w:sz w:val="24"/>
              </w:rPr>
            </w:pPr>
            <w:r>
              <w:rPr>
                <w:rFonts w:cs="Times New Roman"/>
                <w:sz w:val="24"/>
              </w:rPr>
              <w:t>完成省市任务</w:t>
            </w:r>
          </w:p>
        </w:tc>
        <w:tc>
          <w:tcPr>
            <w:tcW w:w="1186" w:type="dxa"/>
            <w:tcMar>
              <w:top w:w="0" w:type="dxa"/>
              <w:left w:w="0" w:type="dxa"/>
              <w:bottom w:w="0" w:type="dxa"/>
              <w:right w:w="0" w:type="dxa"/>
            </w:tcMar>
            <w:vAlign w:val="center"/>
          </w:tcPr>
          <w:p w14:paraId="447FB5B5">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cs="Times New Roman"/>
                <w:sz w:val="24"/>
              </w:rPr>
            </w:pPr>
            <w:r>
              <w:rPr>
                <w:rFonts w:cs="Times New Roman"/>
                <w:sz w:val="24"/>
              </w:rPr>
              <w:t>—</w:t>
            </w:r>
          </w:p>
        </w:tc>
        <w:tc>
          <w:tcPr>
            <w:tcW w:w="1126" w:type="dxa"/>
            <w:tcMar>
              <w:top w:w="0" w:type="dxa"/>
              <w:left w:w="0" w:type="dxa"/>
              <w:bottom w:w="0" w:type="dxa"/>
              <w:right w:w="0" w:type="dxa"/>
            </w:tcMar>
            <w:vAlign w:val="center"/>
          </w:tcPr>
          <w:p w14:paraId="726AB6D8">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cs="Times New Roman"/>
                <w:sz w:val="24"/>
              </w:rPr>
            </w:pPr>
            <w:r>
              <w:rPr>
                <w:rFonts w:cs="Times New Roman"/>
                <w:sz w:val="24"/>
              </w:rPr>
              <w:t>约束性</w:t>
            </w:r>
          </w:p>
        </w:tc>
      </w:tr>
      <w:tr w14:paraId="1BBACC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884" w:type="dxa"/>
            <w:vMerge w:val="continue"/>
            <w:tcMar>
              <w:top w:w="0" w:type="dxa"/>
              <w:left w:w="57" w:type="dxa"/>
              <w:bottom w:w="0" w:type="dxa"/>
              <w:right w:w="57" w:type="dxa"/>
            </w:tcMar>
            <w:vAlign w:val="center"/>
          </w:tcPr>
          <w:p w14:paraId="1D0A97B0">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cs="Times New Roman"/>
                <w:sz w:val="24"/>
              </w:rPr>
            </w:pPr>
          </w:p>
        </w:tc>
        <w:tc>
          <w:tcPr>
            <w:tcW w:w="5234" w:type="dxa"/>
            <w:gridSpan w:val="3"/>
            <w:tcMar>
              <w:top w:w="0" w:type="dxa"/>
              <w:left w:w="57" w:type="dxa"/>
              <w:bottom w:w="0" w:type="dxa"/>
              <w:right w:w="57" w:type="dxa"/>
            </w:tcMar>
            <w:vAlign w:val="center"/>
          </w:tcPr>
          <w:p w14:paraId="3A69F66F">
            <w:pPr>
              <w:keepNext w:val="0"/>
              <w:keepLines w:val="0"/>
              <w:pageBreakBefore w:val="0"/>
              <w:widowControl w:val="0"/>
              <w:numPr>
                <w:ilvl w:val="0"/>
                <w:numId w:val="1"/>
              </w:numPr>
              <w:kinsoku/>
              <w:wordWrap/>
              <w:overflowPunct/>
              <w:topLinePunct w:val="0"/>
              <w:autoSpaceDE/>
              <w:autoSpaceDN/>
              <w:bidi w:val="0"/>
              <w:adjustRightInd/>
              <w:snapToGrid/>
              <w:spacing w:line="400" w:lineRule="exact"/>
              <w:ind w:firstLineChars="0"/>
              <w:textAlignment w:val="auto"/>
              <w:rPr>
                <w:rFonts w:cs="Times New Roman"/>
                <w:kern w:val="0"/>
                <w:sz w:val="24"/>
              </w:rPr>
            </w:pPr>
            <w:r>
              <w:rPr>
                <w:rFonts w:hint="eastAsia" w:ascii="仿宋_GB2312" w:hAnsi="仿宋_GB2312" w:eastAsia="仿宋_GB2312" w:cs="仿宋_GB2312"/>
                <w:kern w:val="0"/>
                <w:sz w:val="24"/>
              </w:rPr>
              <w:t>优良水体比例</w:t>
            </w:r>
            <w:r>
              <w:rPr>
                <w:rFonts w:eastAsia="方正仿宋_GBK" w:cs="Times New Roman"/>
                <w:kern w:val="0"/>
                <w:sz w:val="24"/>
              </w:rPr>
              <w:t>（%）</w:t>
            </w:r>
          </w:p>
        </w:tc>
        <w:tc>
          <w:tcPr>
            <w:tcW w:w="1120" w:type="dxa"/>
            <w:tcMar>
              <w:top w:w="0" w:type="dxa"/>
              <w:left w:w="0" w:type="dxa"/>
              <w:bottom w:w="0" w:type="dxa"/>
              <w:right w:w="0" w:type="dxa"/>
            </w:tcMar>
            <w:vAlign w:val="center"/>
          </w:tcPr>
          <w:p w14:paraId="0E1FD359">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cs="Times New Roman"/>
                <w:sz w:val="24"/>
              </w:rPr>
            </w:pPr>
            <w:r>
              <w:rPr>
                <w:rFonts w:cs="Times New Roman"/>
                <w:sz w:val="24"/>
              </w:rPr>
              <w:t>完成省市任务</w:t>
            </w:r>
          </w:p>
        </w:tc>
        <w:tc>
          <w:tcPr>
            <w:tcW w:w="1186" w:type="dxa"/>
            <w:tcMar>
              <w:top w:w="0" w:type="dxa"/>
              <w:left w:w="0" w:type="dxa"/>
              <w:bottom w:w="0" w:type="dxa"/>
              <w:right w:w="0" w:type="dxa"/>
            </w:tcMar>
            <w:vAlign w:val="center"/>
          </w:tcPr>
          <w:p w14:paraId="75FBBAB2">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cs="Times New Roman"/>
                <w:sz w:val="24"/>
              </w:rPr>
            </w:pPr>
            <w:r>
              <w:rPr>
                <w:rFonts w:cs="Times New Roman"/>
                <w:sz w:val="24"/>
              </w:rPr>
              <w:t>—</w:t>
            </w:r>
          </w:p>
        </w:tc>
        <w:tc>
          <w:tcPr>
            <w:tcW w:w="1126" w:type="dxa"/>
            <w:tcMar>
              <w:top w:w="0" w:type="dxa"/>
              <w:left w:w="0" w:type="dxa"/>
              <w:bottom w:w="0" w:type="dxa"/>
              <w:right w:w="0" w:type="dxa"/>
            </w:tcMar>
            <w:vAlign w:val="center"/>
          </w:tcPr>
          <w:p w14:paraId="553635CD">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cs="Times New Roman"/>
                <w:sz w:val="24"/>
              </w:rPr>
            </w:pPr>
            <w:r>
              <w:rPr>
                <w:rFonts w:cs="Times New Roman"/>
                <w:sz w:val="24"/>
              </w:rPr>
              <w:t>约束性</w:t>
            </w:r>
          </w:p>
        </w:tc>
      </w:tr>
      <w:tr w14:paraId="0D8A9C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884" w:type="dxa"/>
            <w:vMerge w:val="continue"/>
            <w:tcMar>
              <w:top w:w="0" w:type="dxa"/>
              <w:left w:w="57" w:type="dxa"/>
              <w:bottom w:w="0" w:type="dxa"/>
              <w:right w:w="57" w:type="dxa"/>
            </w:tcMar>
            <w:vAlign w:val="center"/>
          </w:tcPr>
          <w:p w14:paraId="68358226">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cs="Times New Roman"/>
                <w:sz w:val="24"/>
              </w:rPr>
            </w:pPr>
          </w:p>
        </w:tc>
        <w:tc>
          <w:tcPr>
            <w:tcW w:w="5234" w:type="dxa"/>
            <w:gridSpan w:val="3"/>
            <w:tcMar>
              <w:top w:w="0" w:type="dxa"/>
              <w:left w:w="57" w:type="dxa"/>
              <w:bottom w:w="0" w:type="dxa"/>
              <w:right w:w="57" w:type="dxa"/>
            </w:tcMar>
            <w:vAlign w:val="center"/>
          </w:tcPr>
          <w:p w14:paraId="67CED12E">
            <w:pPr>
              <w:keepNext w:val="0"/>
              <w:keepLines w:val="0"/>
              <w:pageBreakBefore w:val="0"/>
              <w:widowControl w:val="0"/>
              <w:numPr>
                <w:ilvl w:val="0"/>
                <w:numId w:val="1"/>
              </w:numPr>
              <w:kinsoku/>
              <w:wordWrap/>
              <w:overflowPunct/>
              <w:topLinePunct w:val="0"/>
              <w:autoSpaceDE/>
              <w:autoSpaceDN/>
              <w:bidi w:val="0"/>
              <w:adjustRightInd/>
              <w:snapToGrid/>
              <w:spacing w:line="400" w:lineRule="exact"/>
              <w:ind w:firstLineChars="0"/>
              <w:textAlignment w:val="auto"/>
              <w:rPr>
                <w:rFonts w:cs="Times New Roman"/>
                <w:kern w:val="0"/>
                <w:sz w:val="24"/>
              </w:rPr>
            </w:pPr>
            <w:r>
              <w:rPr>
                <w:rFonts w:cs="Times New Roman"/>
                <w:kern w:val="0"/>
                <w:sz w:val="24"/>
              </w:rPr>
              <w:t>森林覆盖率（%）</w:t>
            </w:r>
          </w:p>
        </w:tc>
        <w:tc>
          <w:tcPr>
            <w:tcW w:w="1120" w:type="dxa"/>
            <w:tcMar>
              <w:top w:w="0" w:type="dxa"/>
              <w:left w:w="0" w:type="dxa"/>
              <w:bottom w:w="0" w:type="dxa"/>
              <w:right w:w="0" w:type="dxa"/>
            </w:tcMar>
            <w:vAlign w:val="center"/>
          </w:tcPr>
          <w:p w14:paraId="043BC8B3">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cs="Times New Roman"/>
                <w:sz w:val="24"/>
              </w:rPr>
            </w:pPr>
            <w:r>
              <w:rPr>
                <w:rFonts w:hint="eastAsia" w:cs="Times New Roman"/>
                <w:sz w:val="24"/>
              </w:rPr>
              <w:t>4.69</w:t>
            </w:r>
          </w:p>
        </w:tc>
        <w:tc>
          <w:tcPr>
            <w:tcW w:w="1186" w:type="dxa"/>
            <w:tcMar>
              <w:top w:w="0" w:type="dxa"/>
              <w:left w:w="0" w:type="dxa"/>
              <w:bottom w:w="0" w:type="dxa"/>
              <w:right w:w="0" w:type="dxa"/>
            </w:tcMar>
            <w:vAlign w:val="center"/>
          </w:tcPr>
          <w:p w14:paraId="048F3F97">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cs="Times New Roman"/>
                <w:sz w:val="24"/>
              </w:rPr>
            </w:pPr>
            <w:r>
              <w:rPr>
                <w:rFonts w:cs="Times New Roman"/>
                <w:sz w:val="24"/>
              </w:rPr>
              <w:t>—</w:t>
            </w:r>
          </w:p>
        </w:tc>
        <w:tc>
          <w:tcPr>
            <w:tcW w:w="1126" w:type="dxa"/>
            <w:tcMar>
              <w:top w:w="0" w:type="dxa"/>
              <w:left w:w="0" w:type="dxa"/>
              <w:bottom w:w="0" w:type="dxa"/>
              <w:right w:w="0" w:type="dxa"/>
            </w:tcMar>
            <w:vAlign w:val="center"/>
          </w:tcPr>
          <w:p w14:paraId="06873F0D">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cs="Times New Roman"/>
                <w:sz w:val="24"/>
              </w:rPr>
            </w:pPr>
            <w:r>
              <w:rPr>
                <w:rFonts w:cs="Times New Roman"/>
                <w:sz w:val="24"/>
              </w:rPr>
              <w:t>约束性</w:t>
            </w:r>
          </w:p>
        </w:tc>
      </w:tr>
      <w:tr w14:paraId="17E985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884" w:type="dxa"/>
            <w:vMerge w:val="restart"/>
            <w:tcMar>
              <w:top w:w="0" w:type="dxa"/>
              <w:left w:w="57" w:type="dxa"/>
              <w:bottom w:w="0" w:type="dxa"/>
              <w:right w:w="57" w:type="dxa"/>
            </w:tcMar>
            <w:vAlign w:val="center"/>
          </w:tcPr>
          <w:p w14:paraId="19985A5A">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cs="Times New Roman"/>
                <w:sz w:val="24"/>
              </w:rPr>
            </w:pPr>
            <w:r>
              <w:rPr>
                <w:rFonts w:cs="Times New Roman"/>
                <w:sz w:val="24"/>
              </w:rPr>
              <w:t>社会文明程度高</w:t>
            </w:r>
          </w:p>
        </w:tc>
        <w:tc>
          <w:tcPr>
            <w:tcW w:w="5234" w:type="dxa"/>
            <w:gridSpan w:val="3"/>
            <w:tcMar>
              <w:top w:w="0" w:type="dxa"/>
              <w:left w:w="57" w:type="dxa"/>
              <w:bottom w:w="0" w:type="dxa"/>
              <w:right w:w="57" w:type="dxa"/>
            </w:tcMar>
            <w:vAlign w:val="center"/>
          </w:tcPr>
          <w:p w14:paraId="04CEFD26">
            <w:pPr>
              <w:keepNext w:val="0"/>
              <w:keepLines w:val="0"/>
              <w:pageBreakBefore w:val="0"/>
              <w:widowControl w:val="0"/>
              <w:numPr>
                <w:ilvl w:val="0"/>
                <w:numId w:val="1"/>
              </w:numPr>
              <w:kinsoku/>
              <w:wordWrap/>
              <w:overflowPunct/>
              <w:topLinePunct w:val="0"/>
              <w:autoSpaceDE/>
              <w:autoSpaceDN/>
              <w:bidi w:val="0"/>
              <w:adjustRightInd/>
              <w:snapToGrid/>
              <w:spacing w:line="400" w:lineRule="exact"/>
              <w:ind w:firstLineChars="0"/>
              <w:textAlignment w:val="auto"/>
              <w:rPr>
                <w:rFonts w:cs="Times New Roman"/>
                <w:kern w:val="0"/>
                <w:sz w:val="24"/>
              </w:rPr>
            </w:pPr>
            <w:r>
              <w:rPr>
                <w:rFonts w:cs="Times New Roman"/>
                <w:kern w:val="0"/>
                <w:sz w:val="24"/>
              </w:rPr>
              <w:t>劳动年龄人口平均受教育年限（年）</w:t>
            </w:r>
          </w:p>
        </w:tc>
        <w:tc>
          <w:tcPr>
            <w:tcW w:w="1120" w:type="dxa"/>
            <w:tcMar>
              <w:top w:w="0" w:type="dxa"/>
              <w:left w:w="0" w:type="dxa"/>
              <w:bottom w:w="0" w:type="dxa"/>
              <w:right w:w="0" w:type="dxa"/>
            </w:tcMar>
            <w:vAlign w:val="center"/>
          </w:tcPr>
          <w:p w14:paraId="13D2551A">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eastAsia="方正仿宋_GBK" w:cs="Times New Roman"/>
                <w:sz w:val="24"/>
              </w:rPr>
            </w:pPr>
            <w:r>
              <w:rPr>
                <w:rFonts w:cs="Times New Roman"/>
                <w:sz w:val="24"/>
              </w:rPr>
              <w:t>14.5</w:t>
            </w:r>
          </w:p>
        </w:tc>
        <w:tc>
          <w:tcPr>
            <w:tcW w:w="1186" w:type="dxa"/>
            <w:tcMar>
              <w:top w:w="0" w:type="dxa"/>
              <w:left w:w="0" w:type="dxa"/>
              <w:bottom w:w="0" w:type="dxa"/>
              <w:right w:w="0" w:type="dxa"/>
            </w:tcMar>
            <w:vAlign w:val="center"/>
          </w:tcPr>
          <w:p w14:paraId="07178610">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cs="Times New Roman"/>
                <w:sz w:val="24"/>
              </w:rPr>
            </w:pPr>
            <w:r>
              <w:rPr>
                <w:rFonts w:cs="Times New Roman"/>
                <w:sz w:val="24"/>
              </w:rPr>
              <w:t>—</w:t>
            </w:r>
          </w:p>
        </w:tc>
        <w:tc>
          <w:tcPr>
            <w:tcW w:w="1126" w:type="dxa"/>
            <w:tcMar>
              <w:top w:w="0" w:type="dxa"/>
              <w:left w:w="0" w:type="dxa"/>
              <w:bottom w:w="0" w:type="dxa"/>
              <w:right w:w="0" w:type="dxa"/>
            </w:tcMar>
            <w:vAlign w:val="center"/>
          </w:tcPr>
          <w:p w14:paraId="2C7ECF75">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cs="Times New Roman"/>
                <w:sz w:val="24"/>
              </w:rPr>
            </w:pPr>
            <w:r>
              <w:rPr>
                <w:rFonts w:cs="Times New Roman"/>
                <w:sz w:val="24"/>
              </w:rPr>
              <w:t>约束性</w:t>
            </w:r>
          </w:p>
        </w:tc>
      </w:tr>
      <w:tr w14:paraId="17CF4D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884" w:type="dxa"/>
            <w:vMerge w:val="continue"/>
            <w:tcMar>
              <w:top w:w="0" w:type="dxa"/>
              <w:left w:w="57" w:type="dxa"/>
              <w:bottom w:w="0" w:type="dxa"/>
              <w:right w:w="57" w:type="dxa"/>
            </w:tcMar>
            <w:vAlign w:val="center"/>
          </w:tcPr>
          <w:p w14:paraId="74B1BE0E">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cs="Times New Roman"/>
                <w:sz w:val="24"/>
              </w:rPr>
            </w:pPr>
          </w:p>
        </w:tc>
        <w:tc>
          <w:tcPr>
            <w:tcW w:w="5234" w:type="dxa"/>
            <w:gridSpan w:val="3"/>
            <w:tcMar>
              <w:top w:w="0" w:type="dxa"/>
              <w:left w:w="57" w:type="dxa"/>
              <w:bottom w:w="0" w:type="dxa"/>
              <w:right w:w="57" w:type="dxa"/>
            </w:tcMar>
            <w:vAlign w:val="center"/>
          </w:tcPr>
          <w:p w14:paraId="61D51625">
            <w:pPr>
              <w:keepNext w:val="0"/>
              <w:keepLines w:val="0"/>
              <w:pageBreakBefore w:val="0"/>
              <w:widowControl w:val="0"/>
              <w:numPr>
                <w:ilvl w:val="0"/>
                <w:numId w:val="1"/>
              </w:numPr>
              <w:kinsoku/>
              <w:wordWrap/>
              <w:overflowPunct/>
              <w:topLinePunct w:val="0"/>
              <w:autoSpaceDE/>
              <w:autoSpaceDN/>
              <w:bidi w:val="0"/>
              <w:adjustRightInd/>
              <w:snapToGrid/>
              <w:spacing w:line="400" w:lineRule="exact"/>
              <w:ind w:firstLineChars="0"/>
              <w:textAlignment w:val="auto"/>
              <w:rPr>
                <w:rFonts w:cs="Times New Roman"/>
                <w:kern w:val="0"/>
                <w:sz w:val="24"/>
              </w:rPr>
            </w:pPr>
            <w:r>
              <w:rPr>
                <w:rFonts w:hint="eastAsia" w:cs="Times New Roman"/>
                <w:kern w:val="0"/>
                <w:sz w:val="24"/>
              </w:rPr>
              <w:t>新增</w:t>
            </w:r>
            <w:r>
              <w:rPr>
                <w:rFonts w:cs="Times New Roman"/>
                <w:kern w:val="0"/>
                <w:sz w:val="24"/>
              </w:rPr>
              <w:t>人才数（万人）</w:t>
            </w:r>
          </w:p>
        </w:tc>
        <w:tc>
          <w:tcPr>
            <w:tcW w:w="1120" w:type="dxa"/>
            <w:tcMar>
              <w:top w:w="0" w:type="dxa"/>
              <w:left w:w="0" w:type="dxa"/>
              <w:bottom w:w="0" w:type="dxa"/>
              <w:right w:w="0" w:type="dxa"/>
            </w:tcMar>
            <w:vAlign w:val="center"/>
          </w:tcPr>
          <w:p w14:paraId="46BF7B68">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cs="Times New Roman"/>
                <w:sz w:val="24"/>
              </w:rPr>
            </w:pPr>
            <w:r>
              <w:rPr>
                <w:rFonts w:hint="eastAsia" w:cs="Times New Roman"/>
                <w:sz w:val="24"/>
              </w:rPr>
              <w:t>4.5</w:t>
            </w:r>
          </w:p>
        </w:tc>
        <w:tc>
          <w:tcPr>
            <w:tcW w:w="1186" w:type="dxa"/>
            <w:tcMar>
              <w:top w:w="0" w:type="dxa"/>
              <w:left w:w="0" w:type="dxa"/>
              <w:bottom w:w="0" w:type="dxa"/>
              <w:right w:w="0" w:type="dxa"/>
            </w:tcMar>
            <w:vAlign w:val="center"/>
          </w:tcPr>
          <w:p w14:paraId="3AEE2930">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cs="Times New Roman"/>
                <w:sz w:val="24"/>
              </w:rPr>
            </w:pPr>
            <w:r>
              <w:rPr>
                <w:rFonts w:cs="Times New Roman"/>
                <w:sz w:val="24"/>
              </w:rPr>
              <w:t>—</w:t>
            </w:r>
          </w:p>
        </w:tc>
        <w:tc>
          <w:tcPr>
            <w:tcW w:w="1126" w:type="dxa"/>
            <w:tcMar>
              <w:top w:w="0" w:type="dxa"/>
              <w:left w:w="0" w:type="dxa"/>
              <w:bottom w:w="0" w:type="dxa"/>
              <w:right w:w="0" w:type="dxa"/>
            </w:tcMar>
            <w:vAlign w:val="center"/>
          </w:tcPr>
          <w:p w14:paraId="5DAED932">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cs="Times New Roman"/>
                <w:sz w:val="24"/>
              </w:rPr>
            </w:pPr>
            <w:r>
              <w:rPr>
                <w:rFonts w:cs="Times New Roman"/>
                <w:sz w:val="24"/>
              </w:rPr>
              <w:t>预期性</w:t>
            </w:r>
          </w:p>
        </w:tc>
      </w:tr>
      <w:tr w14:paraId="3913BF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884" w:type="dxa"/>
            <w:vMerge w:val="continue"/>
            <w:tcMar>
              <w:top w:w="0" w:type="dxa"/>
              <w:left w:w="57" w:type="dxa"/>
              <w:bottom w:w="0" w:type="dxa"/>
              <w:right w:w="57" w:type="dxa"/>
            </w:tcMar>
            <w:vAlign w:val="center"/>
          </w:tcPr>
          <w:p w14:paraId="06D5394D">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cs="Times New Roman"/>
                <w:sz w:val="24"/>
              </w:rPr>
            </w:pPr>
          </w:p>
        </w:tc>
        <w:tc>
          <w:tcPr>
            <w:tcW w:w="5234" w:type="dxa"/>
            <w:gridSpan w:val="3"/>
            <w:tcMar>
              <w:top w:w="0" w:type="dxa"/>
              <w:left w:w="57" w:type="dxa"/>
              <w:bottom w:w="0" w:type="dxa"/>
              <w:right w:w="57" w:type="dxa"/>
            </w:tcMar>
            <w:vAlign w:val="center"/>
          </w:tcPr>
          <w:p w14:paraId="3D03E689">
            <w:pPr>
              <w:keepNext w:val="0"/>
              <w:keepLines w:val="0"/>
              <w:pageBreakBefore w:val="0"/>
              <w:widowControl w:val="0"/>
              <w:numPr>
                <w:ilvl w:val="0"/>
                <w:numId w:val="1"/>
              </w:numPr>
              <w:kinsoku/>
              <w:wordWrap/>
              <w:overflowPunct/>
              <w:topLinePunct w:val="0"/>
              <w:autoSpaceDE/>
              <w:autoSpaceDN/>
              <w:bidi w:val="0"/>
              <w:adjustRightInd/>
              <w:snapToGrid/>
              <w:spacing w:line="400" w:lineRule="exact"/>
              <w:ind w:firstLineChars="0"/>
              <w:textAlignment w:val="auto"/>
              <w:rPr>
                <w:rFonts w:cs="Times New Roman"/>
                <w:kern w:val="0"/>
                <w:sz w:val="24"/>
              </w:rPr>
            </w:pPr>
            <w:r>
              <w:rPr>
                <w:rFonts w:cs="Times New Roman"/>
                <w:kern w:val="0"/>
                <w:sz w:val="24"/>
              </w:rPr>
              <w:t>文化产业增加值占GDP比重（%）</w:t>
            </w:r>
          </w:p>
        </w:tc>
        <w:tc>
          <w:tcPr>
            <w:tcW w:w="1120" w:type="dxa"/>
            <w:tcMar>
              <w:top w:w="0" w:type="dxa"/>
              <w:left w:w="0" w:type="dxa"/>
              <w:bottom w:w="0" w:type="dxa"/>
              <w:right w:w="0" w:type="dxa"/>
            </w:tcMar>
            <w:vAlign w:val="center"/>
          </w:tcPr>
          <w:p w14:paraId="59AFEC03">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cs="Times New Roman"/>
                <w:sz w:val="24"/>
              </w:rPr>
            </w:pPr>
            <w:r>
              <w:rPr>
                <w:rFonts w:cs="Times New Roman"/>
                <w:sz w:val="24"/>
              </w:rPr>
              <w:t>5.6左右</w:t>
            </w:r>
          </w:p>
        </w:tc>
        <w:tc>
          <w:tcPr>
            <w:tcW w:w="1186" w:type="dxa"/>
            <w:tcMar>
              <w:top w:w="0" w:type="dxa"/>
              <w:left w:w="0" w:type="dxa"/>
              <w:bottom w:w="0" w:type="dxa"/>
              <w:right w:w="0" w:type="dxa"/>
            </w:tcMar>
            <w:vAlign w:val="center"/>
          </w:tcPr>
          <w:p w14:paraId="4CFE0B8D">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cs="Times New Roman"/>
                <w:sz w:val="24"/>
              </w:rPr>
            </w:pPr>
            <w:r>
              <w:rPr>
                <w:rFonts w:cs="Times New Roman"/>
                <w:sz w:val="24"/>
              </w:rPr>
              <w:t>—</w:t>
            </w:r>
          </w:p>
        </w:tc>
        <w:tc>
          <w:tcPr>
            <w:tcW w:w="1126" w:type="dxa"/>
            <w:tcMar>
              <w:top w:w="0" w:type="dxa"/>
              <w:left w:w="0" w:type="dxa"/>
              <w:bottom w:w="0" w:type="dxa"/>
              <w:right w:w="0" w:type="dxa"/>
            </w:tcMar>
            <w:vAlign w:val="center"/>
          </w:tcPr>
          <w:p w14:paraId="490DFF9B">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cs="Times New Roman"/>
                <w:sz w:val="24"/>
              </w:rPr>
            </w:pPr>
            <w:r>
              <w:rPr>
                <w:rFonts w:cs="Times New Roman"/>
                <w:sz w:val="24"/>
              </w:rPr>
              <w:t>预期性</w:t>
            </w:r>
          </w:p>
        </w:tc>
      </w:tr>
      <w:tr w14:paraId="610F06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884" w:type="dxa"/>
            <w:vMerge w:val="continue"/>
            <w:tcMar>
              <w:top w:w="0" w:type="dxa"/>
              <w:left w:w="57" w:type="dxa"/>
              <w:bottom w:w="0" w:type="dxa"/>
              <w:right w:w="57" w:type="dxa"/>
            </w:tcMar>
            <w:vAlign w:val="center"/>
          </w:tcPr>
          <w:p w14:paraId="45B64F58">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cs="Times New Roman"/>
                <w:sz w:val="24"/>
              </w:rPr>
            </w:pPr>
          </w:p>
        </w:tc>
        <w:tc>
          <w:tcPr>
            <w:tcW w:w="5234" w:type="dxa"/>
            <w:gridSpan w:val="3"/>
            <w:tcMar>
              <w:top w:w="0" w:type="dxa"/>
              <w:left w:w="57" w:type="dxa"/>
              <w:bottom w:w="0" w:type="dxa"/>
              <w:right w:w="57" w:type="dxa"/>
            </w:tcMar>
            <w:vAlign w:val="center"/>
          </w:tcPr>
          <w:p w14:paraId="7E0ECCEA">
            <w:pPr>
              <w:keepNext w:val="0"/>
              <w:keepLines w:val="0"/>
              <w:pageBreakBefore w:val="0"/>
              <w:widowControl w:val="0"/>
              <w:numPr>
                <w:ilvl w:val="0"/>
                <w:numId w:val="1"/>
              </w:numPr>
              <w:kinsoku/>
              <w:wordWrap/>
              <w:overflowPunct/>
              <w:topLinePunct w:val="0"/>
              <w:autoSpaceDE/>
              <w:autoSpaceDN/>
              <w:bidi w:val="0"/>
              <w:adjustRightInd/>
              <w:snapToGrid/>
              <w:spacing w:line="400" w:lineRule="exact"/>
              <w:ind w:firstLineChars="0"/>
              <w:textAlignment w:val="auto"/>
              <w:rPr>
                <w:rFonts w:cs="Times New Roman"/>
                <w:kern w:val="0"/>
                <w:sz w:val="24"/>
              </w:rPr>
            </w:pPr>
            <w:r>
              <w:rPr>
                <w:rFonts w:hint="eastAsia" w:cs="Times New Roman"/>
                <w:kern w:val="0"/>
                <w:sz w:val="24"/>
              </w:rPr>
              <w:t>法治建设满意</w:t>
            </w:r>
            <w:r>
              <w:rPr>
                <w:rFonts w:hint="eastAsia" w:cs="Times New Roman"/>
                <w:kern w:val="0"/>
                <w:sz w:val="24"/>
                <w:highlight w:val="none"/>
              </w:rPr>
              <w:t>度</w:t>
            </w:r>
          </w:p>
        </w:tc>
        <w:tc>
          <w:tcPr>
            <w:tcW w:w="1120" w:type="dxa"/>
            <w:tcMar>
              <w:top w:w="0" w:type="dxa"/>
              <w:left w:w="0" w:type="dxa"/>
              <w:bottom w:w="0" w:type="dxa"/>
              <w:right w:w="0" w:type="dxa"/>
            </w:tcMar>
            <w:vAlign w:val="center"/>
          </w:tcPr>
          <w:p w14:paraId="18D82712">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cs="Times New Roman"/>
                <w:sz w:val="24"/>
              </w:rPr>
            </w:pPr>
            <w:r>
              <w:rPr>
                <w:rFonts w:cs="Times New Roman"/>
                <w:sz w:val="24"/>
              </w:rPr>
              <w:t>91</w:t>
            </w:r>
          </w:p>
        </w:tc>
        <w:tc>
          <w:tcPr>
            <w:tcW w:w="1186" w:type="dxa"/>
            <w:tcMar>
              <w:top w:w="0" w:type="dxa"/>
              <w:left w:w="0" w:type="dxa"/>
              <w:bottom w:w="0" w:type="dxa"/>
              <w:right w:w="0" w:type="dxa"/>
            </w:tcMar>
            <w:vAlign w:val="center"/>
          </w:tcPr>
          <w:p w14:paraId="375F8CF8">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cs="Times New Roman"/>
                <w:sz w:val="24"/>
              </w:rPr>
            </w:pPr>
            <w:r>
              <w:rPr>
                <w:rFonts w:cs="Times New Roman"/>
                <w:sz w:val="24"/>
              </w:rPr>
              <w:t>—</w:t>
            </w:r>
          </w:p>
        </w:tc>
        <w:tc>
          <w:tcPr>
            <w:tcW w:w="1126" w:type="dxa"/>
            <w:tcMar>
              <w:top w:w="0" w:type="dxa"/>
              <w:left w:w="0" w:type="dxa"/>
              <w:bottom w:w="0" w:type="dxa"/>
              <w:right w:w="0" w:type="dxa"/>
            </w:tcMar>
            <w:vAlign w:val="center"/>
          </w:tcPr>
          <w:p w14:paraId="67AFDF1B">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cs="Times New Roman"/>
                <w:sz w:val="24"/>
              </w:rPr>
            </w:pPr>
            <w:r>
              <w:rPr>
                <w:rFonts w:cs="Times New Roman"/>
                <w:sz w:val="24"/>
              </w:rPr>
              <w:t>预期性</w:t>
            </w:r>
          </w:p>
        </w:tc>
      </w:tr>
      <w:tr w14:paraId="47B161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84" w:type="dxa"/>
            <w:vMerge w:val="restart"/>
            <w:tcMar>
              <w:top w:w="0" w:type="dxa"/>
              <w:left w:w="57" w:type="dxa"/>
              <w:bottom w:w="0" w:type="dxa"/>
              <w:right w:w="57" w:type="dxa"/>
            </w:tcMar>
            <w:vAlign w:val="center"/>
          </w:tcPr>
          <w:p w14:paraId="188945BB">
            <w:pPr>
              <w:keepNext w:val="0"/>
              <w:keepLines w:val="0"/>
              <w:pageBreakBefore w:val="0"/>
              <w:widowControl w:val="0"/>
              <w:numPr>
                <w:ilvl w:val="255"/>
                <w:numId w:val="0"/>
              </w:numPr>
              <w:kinsoku/>
              <w:wordWrap/>
              <w:overflowPunct/>
              <w:topLinePunct w:val="0"/>
              <w:autoSpaceDE/>
              <w:autoSpaceDN/>
              <w:bidi w:val="0"/>
              <w:adjustRightInd/>
              <w:snapToGrid/>
              <w:spacing w:line="400" w:lineRule="exact"/>
              <w:jc w:val="center"/>
              <w:textAlignment w:val="auto"/>
              <w:rPr>
                <w:rFonts w:cs="Times New Roman"/>
                <w:sz w:val="24"/>
              </w:rPr>
            </w:pPr>
            <w:r>
              <w:rPr>
                <w:rFonts w:cs="Times New Roman"/>
                <w:sz w:val="24"/>
              </w:rPr>
              <w:t>安全</w:t>
            </w:r>
          </w:p>
          <w:p w14:paraId="6544E109">
            <w:pPr>
              <w:keepNext w:val="0"/>
              <w:keepLines w:val="0"/>
              <w:pageBreakBefore w:val="0"/>
              <w:widowControl w:val="0"/>
              <w:numPr>
                <w:ilvl w:val="255"/>
                <w:numId w:val="0"/>
              </w:numPr>
              <w:kinsoku/>
              <w:wordWrap/>
              <w:overflowPunct/>
              <w:topLinePunct w:val="0"/>
              <w:autoSpaceDE/>
              <w:autoSpaceDN/>
              <w:bidi w:val="0"/>
              <w:adjustRightInd/>
              <w:snapToGrid/>
              <w:spacing w:line="400" w:lineRule="exact"/>
              <w:jc w:val="center"/>
              <w:textAlignment w:val="auto"/>
              <w:rPr>
                <w:rFonts w:eastAsia="方正仿宋_GBK" w:cs="Times New Roman"/>
                <w:sz w:val="24"/>
              </w:rPr>
            </w:pPr>
            <w:r>
              <w:rPr>
                <w:rFonts w:cs="Times New Roman"/>
                <w:sz w:val="24"/>
              </w:rPr>
              <w:t>保障</w:t>
            </w:r>
          </w:p>
        </w:tc>
        <w:tc>
          <w:tcPr>
            <w:tcW w:w="5234" w:type="dxa"/>
            <w:gridSpan w:val="3"/>
            <w:tcMar>
              <w:top w:w="0" w:type="dxa"/>
              <w:left w:w="57" w:type="dxa"/>
              <w:bottom w:w="0" w:type="dxa"/>
              <w:right w:w="57" w:type="dxa"/>
            </w:tcMar>
            <w:vAlign w:val="center"/>
          </w:tcPr>
          <w:p w14:paraId="1E7A08C3">
            <w:pPr>
              <w:keepNext w:val="0"/>
              <w:keepLines w:val="0"/>
              <w:pageBreakBefore w:val="0"/>
              <w:widowControl w:val="0"/>
              <w:numPr>
                <w:ilvl w:val="0"/>
                <w:numId w:val="1"/>
              </w:numPr>
              <w:kinsoku/>
              <w:wordWrap/>
              <w:overflowPunct/>
              <w:topLinePunct w:val="0"/>
              <w:autoSpaceDE/>
              <w:autoSpaceDN/>
              <w:bidi w:val="0"/>
              <w:adjustRightInd/>
              <w:snapToGrid/>
              <w:spacing w:line="400" w:lineRule="exact"/>
              <w:ind w:firstLineChars="0"/>
              <w:textAlignment w:val="auto"/>
              <w:rPr>
                <w:rFonts w:cs="Times New Roman"/>
                <w:kern w:val="0"/>
                <w:sz w:val="24"/>
              </w:rPr>
            </w:pPr>
            <w:r>
              <w:rPr>
                <w:rFonts w:cs="Times New Roman"/>
                <w:kern w:val="0"/>
                <w:sz w:val="24"/>
              </w:rPr>
              <w:t>粮食综合生产能力（万吨）</w:t>
            </w:r>
          </w:p>
        </w:tc>
        <w:tc>
          <w:tcPr>
            <w:tcW w:w="1120" w:type="dxa"/>
            <w:tcMar>
              <w:top w:w="0" w:type="dxa"/>
              <w:left w:w="0" w:type="dxa"/>
              <w:bottom w:w="0" w:type="dxa"/>
              <w:right w:w="0" w:type="dxa"/>
            </w:tcMar>
            <w:vAlign w:val="center"/>
          </w:tcPr>
          <w:p w14:paraId="4AAEE94C">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cs="Times New Roman"/>
                <w:sz w:val="24"/>
              </w:rPr>
            </w:pPr>
            <w:r>
              <w:rPr>
                <w:rFonts w:cs="Times New Roman"/>
                <w:sz w:val="24"/>
              </w:rPr>
              <w:t>完成省市任务</w:t>
            </w:r>
          </w:p>
        </w:tc>
        <w:tc>
          <w:tcPr>
            <w:tcW w:w="1186" w:type="dxa"/>
            <w:tcMar>
              <w:top w:w="0" w:type="dxa"/>
              <w:left w:w="0" w:type="dxa"/>
              <w:bottom w:w="0" w:type="dxa"/>
              <w:right w:w="0" w:type="dxa"/>
            </w:tcMar>
            <w:vAlign w:val="center"/>
          </w:tcPr>
          <w:p w14:paraId="3338D4E3">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cs="Times New Roman"/>
                <w:sz w:val="24"/>
              </w:rPr>
            </w:pPr>
            <w:r>
              <w:rPr>
                <w:rFonts w:cs="Times New Roman"/>
                <w:sz w:val="24"/>
              </w:rPr>
              <w:t>—</w:t>
            </w:r>
          </w:p>
        </w:tc>
        <w:tc>
          <w:tcPr>
            <w:tcW w:w="1126" w:type="dxa"/>
            <w:tcMar>
              <w:top w:w="0" w:type="dxa"/>
              <w:left w:w="0" w:type="dxa"/>
              <w:bottom w:w="0" w:type="dxa"/>
              <w:right w:w="0" w:type="dxa"/>
            </w:tcMar>
            <w:vAlign w:val="center"/>
          </w:tcPr>
          <w:p w14:paraId="264BDEDC">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cs="Times New Roman"/>
                <w:sz w:val="24"/>
              </w:rPr>
            </w:pPr>
            <w:r>
              <w:rPr>
                <w:rFonts w:cs="Times New Roman"/>
                <w:sz w:val="24"/>
              </w:rPr>
              <w:t>约束性</w:t>
            </w:r>
          </w:p>
        </w:tc>
      </w:tr>
      <w:tr w14:paraId="0610A7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884" w:type="dxa"/>
            <w:vMerge w:val="continue"/>
            <w:tcMar>
              <w:top w:w="0" w:type="dxa"/>
              <w:left w:w="57" w:type="dxa"/>
              <w:bottom w:w="0" w:type="dxa"/>
              <w:right w:w="57" w:type="dxa"/>
            </w:tcMar>
            <w:vAlign w:val="center"/>
          </w:tcPr>
          <w:p w14:paraId="7B07CB24">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cs="Times New Roman"/>
                <w:sz w:val="24"/>
              </w:rPr>
            </w:pPr>
          </w:p>
        </w:tc>
        <w:tc>
          <w:tcPr>
            <w:tcW w:w="5234" w:type="dxa"/>
            <w:gridSpan w:val="3"/>
            <w:tcMar>
              <w:top w:w="0" w:type="dxa"/>
              <w:left w:w="57" w:type="dxa"/>
              <w:bottom w:w="0" w:type="dxa"/>
              <w:right w:w="57" w:type="dxa"/>
            </w:tcMar>
            <w:vAlign w:val="center"/>
          </w:tcPr>
          <w:p w14:paraId="75092DCB">
            <w:pPr>
              <w:keepNext w:val="0"/>
              <w:keepLines w:val="0"/>
              <w:pageBreakBefore w:val="0"/>
              <w:widowControl w:val="0"/>
              <w:numPr>
                <w:ilvl w:val="0"/>
                <w:numId w:val="1"/>
              </w:numPr>
              <w:kinsoku/>
              <w:wordWrap/>
              <w:overflowPunct/>
              <w:topLinePunct w:val="0"/>
              <w:autoSpaceDE/>
              <w:autoSpaceDN/>
              <w:bidi w:val="0"/>
              <w:adjustRightInd/>
              <w:snapToGrid/>
              <w:spacing w:line="400" w:lineRule="exact"/>
              <w:ind w:firstLineChars="0"/>
              <w:textAlignment w:val="auto"/>
              <w:rPr>
                <w:rFonts w:eastAsia="方正仿宋_GBK" w:cs="Times New Roman"/>
                <w:kern w:val="0"/>
                <w:sz w:val="24"/>
              </w:rPr>
            </w:pPr>
            <w:r>
              <w:rPr>
                <w:rFonts w:hint="eastAsia" w:cs="Times New Roman"/>
                <w:kern w:val="0"/>
                <w:sz w:val="24"/>
              </w:rPr>
              <w:t>生产安全事故死亡人数下降（%）</w:t>
            </w:r>
          </w:p>
        </w:tc>
        <w:tc>
          <w:tcPr>
            <w:tcW w:w="1120" w:type="dxa"/>
            <w:tcMar>
              <w:top w:w="0" w:type="dxa"/>
              <w:left w:w="0" w:type="dxa"/>
              <w:bottom w:w="0" w:type="dxa"/>
              <w:right w:w="0" w:type="dxa"/>
            </w:tcMar>
            <w:vAlign w:val="center"/>
          </w:tcPr>
          <w:p w14:paraId="7C2EBF8D">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eastAsia="方正仿宋_GBK" w:cs="Times New Roman"/>
                <w:sz w:val="24"/>
              </w:rPr>
            </w:pPr>
            <w:r>
              <w:rPr>
                <w:rFonts w:cs="Times New Roman"/>
                <w:sz w:val="24"/>
              </w:rPr>
              <w:t>—</w:t>
            </w:r>
          </w:p>
        </w:tc>
        <w:tc>
          <w:tcPr>
            <w:tcW w:w="1186" w:type="dxa"/>
            <w:tcMar>
              <w:top w:w="0" w:type="dxa"/>
              <w:left w:w="0" w:type="dxa"/>
              <w:bottom w:w="0" w:type="dxa"/>
              <w:right w:w="0" w:type="dxa"/>
            </w:tcMar>
            <w:vAlign w:val="center"/>
          </w:tcPr>
          <w:p w14:paraId="28777956">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eastAsia="方正仿宋_GBK" w:cs="Times New Roman"/>
                <w:sz w:val="24"/>
              </w:rPr>
            </w:pPr>
            <w:r>
              <w:rPr>
                <w:rFonts w:cs="Times New Roman"/>
                <w:sz w:val="24"/>
              </w:rPr>
              <w:t>[</w:t>
            </w:r>
            <w:r>
              <w:rPr>
                <w:rFonts w:hint="eastAsia" w:cs="Times New Roman"/>
                <w:sz w:val="21"/>
                <w:szCs w:val="21"/>
              </w:rPr>
              <w:t>&gt;15</w:t>
            </w:r>
            <w:r>
              <w:rPr>
                <w:rFonts w:cs="Times New Roman"/>
                <w:sz w:val="24"/>
              </w:rPr>
              <w:t>]</w:t>
            </w:r>
          </w:p>
        </w:tc>
        <w:tc>
          <w:tcPr>
            <w:tcW w:w="1126" w:type="dxa"/>
            <w:tcMar>
              <w:top w:w="0" w:type="dxa"/>
              <w:left w:w="0" w:type="dxa"/>
              <w:bottom w:w="0" w:type="dxa"/>
              <w:right w:w="0" w:type="dxa"/>
            </w:tcMar>
            <w:vAlign w:val="center"/>
          </w:tcPr>
          <w:p w14:paraId="0A76AE7D">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eastAsia="方正仿宋_GBK" w:cs="Times New Roman"/>
                <w:sz w:val="24"/>
              </w:rPr>
            </w:pPr>
            <w:r>
              <w:rPr>
                <w:rFonts w:cs="Times New Roman"/>
                <w:sz w:val="24"/>
              </w:rPr>
              <w:t>约束性</w:t>
            </w:r>
          </w:p>
        </w:tc>
      </w:tr>
    </w:tbl>
    <w:p w14:paraId="47F7059C">
      <w:pPr>
        <w:ind w:firstLine="0" w:firstLineChars="0"/>
        <w:rPr>
          <w:rFonts w:eastAsia="楷体_GB2312" w:cs="Times New Roman"/>
          <w:kern w:val="0"/>
          <w:sz w:val="21"/>
          <w:szCs w:val="21"/>
        </w:rPr>
      </w:pPr>
      <w:bookmarkStart w:id="130" w:name="_Toc413"/>
      <w:bookmarkStart w:id="131" w:name="_Toc1280"/>
      <w:bookmarkStart w:id="132" w:name="_Toc16846"/>
      <w:bookmarkStart w:id="133" w:name="_Toc11407"/>
      <w:bookmarkStart w:id="134" w:name="_Toc15910"/>
      <w:bookmarkStart w:id="135" w:name="_Toc25836"/>
      <w:bookmarkStart w:id="136" w:name="_Toc23189"/>
      <w:bookmarkStart w:id="137" w:name="_Toc9775"/>
      <w:bookmarkStart w:id="138" w:name="_Toc14473"/>
    </w:p>
    <w:p w14:paraId="6A9F1446">
      <w:pPr>
        <w:ind w:firstLine="0" w:firstLineChars="0"/>
        <w:rPr>
          <w:rFonts w:eastAsia="楷体_GB2312" w:cs="Times New Roman"/>
          <w:kern w:val="0"/>
          <w:sz w:val="21"/>
          <w:szCs w:val="21"/>
        </w:rPr>
        <w:sectPr>
          <w:pgSz w:w="11906" w:h="16838"/>
          <w:pgMar w:top="1814" w:right="1531" w:bottom="1984" w:left="1531" w:header="510" w:footer="1474" w:gutter="0"/>
          <w:cols w:space="0" w:num="1"/>
          <w:docGrid w:type="lines" w:linePitch="312" w:charSpace="0"/>
        </w:sectPr>
      </w:pPr>
    </w:p>
    <w:p w14:paraId="7036BD59">
      <w:pPr>
        <w:pStyle w:val="2"/>
        <w:rPr>
          <w:rFonts w:ascii="Times New Roman" w:hAnsi="Times New Roman" w:cs="Times New Roman"/>
        </w:rPr>
      </w:pPr>
      <w:bookmarkStart w:id="139" w:name="_Toc18509"/>
      <w:bookmarkStart w:id="140" w:name="_Toc31997"/>
      <w:bookmarkStart w:id="141" w:name="_Toc25464"/>
      <w:bookmarkStart w:id="142" w:name="_Toc15589"/>
      <w:bookmarkStart w:id="143" w:name="_Toc2016"/>
      <w:r>
        <w:rPr>
          <w:rFonts w:ascii="Times New Roman" w:hAnsi="Times New Roman" w:cs="Times New Roman"/>
        </w:rPr>
        <w:t xml:space="preserve">第三章  聚力强链补链强基提质  </w:t>
      </w:r>
      <w:bookmarkEnd w:id="130"/>
      <w:bookmarkEnd w:id="131"/>
      <w:bookmarkEnd w:id="132"/>
      <w:bookmarkEnd w:id="133"/>
      <w:bookmarkEnd w:id="134"/>
      <w:bookmarkEnd w:id="135"/>
      <w:bookmarkEnd w:id="136"/>
      <w:r>
        <w:rPr>
          <w:rFonts w:ascii="Times New Roman" w:hAnsi="Times New Roman" w:cs="Times New Roman"/>
        </w:rPr>
        <w:t>构筑产业</w:t>
      </w:r>
    </w:p>
    <w:p w14:paraId="73D9C321">
      <w:pPr>
        <w:pStyle w:val="2"/>
        <w:rPr>
          <w:rFonts w:ascii="Times New Roman" w:hAnsi="Times New Roman" w:cs="Times New Roman"/>
        </w:rPr>
      </w:pPr>
      <w:r>
        <w:rPr>
          <w:rFonts w:ascii="Times New Roman" w:hAnsi="Times New Roman" w:cs="Times New Roman"/>
        </w:rPr>
        <w:t>发展新优势</w:t>
      </w:r>
      <w:bookmarkEnd w:id="137"/>
      <w:bookmarkEnd w:id="138"/>
      <w:bookmarkEnd w:id="139"/>
      <w:bookmarkEnd w:id="140"/>
      <w:bookmarkEnd w:id="141"/>
      <w:bookmarkEnd w:id="142"/>
      <w:bookmarkEnd w:id="143"/>
    </w:p>
    <w:p w14:paraId="041FB2F1">
      <w:pPr>
        <w:rPr>
          <w:rFonts w:cs="Times New Roman"/>
        </w:rPr>
      </w:pPr>
      <w:r>
        <w:rPr>
          <w:rFonts w:cs="Times New Roman"/>
          <w:kern w:val="0"/>
          <w:szCs w:val="32"/>
          <w:lang w:bidi="ar"/>
        </w:rPr>
        <w:t>以实体经济为根基，坚持制造业和服务业双轮驱动，</w:t>
      </w:r>
      <w:r>
        <w:rPr>
          <w:rFonts w:cs="Times New Roman"/>
        </w:rPr>
        <w:t>深入推进重大产业及外资项目招引建设专项行动、现代服务业项目招引建设专项行动，在强链补链延链上展现新作为，提升海门特色产业标识度，厚植产业发展新优势。</w:t>
      </w:r>
    </w:p>
    <w:p w14:paraId="4F207508">
      <w:pPr>
        <w:pStyle w:val="3"/>
        <w:rPr>
          <w:rFonts w:ascii="Times New Roman" w:hAnsi="Times New Roman" w:eastAsia="楷体_GB2312" w:cs="Times New Roman"/>
        </w:rPr>
      </w:pPr>
      <w:bookmarkStart w:id="144" w:name="_Toc2704"/>
      <w:bookmarkStart w:id="145" w:name="_Toc1083"/>
      <w:bookmarkStart w:id="146" w:name="_Toc7797"/>
      <w:bookmarkStart w:id="147" w:name="_Toc16689"/>
      <w:bookmarkStart w:id="148" w:name="_Toc24074"/>
      <w:bookmarkStart w:id="149" w:name="_Toc22195"/>
      <w:bookmarkStart w:id="150" w:name="_Toc18460"/>
      <w:bookmarkStart w:id="151" w:name="_Toc31334"/>
      <w:bookmarkStart w:id="152" w:name="_Toc13687"/>
      <w:bookmarkStart w:id="153" w:name="_Toc29827"/>
      <w:bookmarkStart w:id="154" w:name="_Toc28163"/>
      <w:bookmarkStart w:id="155" w:name="_Toc24783"/>
      <w:bookmarkStart w:id="156" w:name="_Toc23544"/>
      <w:bookmarkStart w:id="157" w:name="_Toc3930"/>
      <w:r>
        <w:rPr>
          <w:rFonts w:ascii="Times New Roman" w:hAnsi="Times New Roman" w:cs="Times New Roman"/>
        </w:rPr>
        <w:t>第一节  壮大</w:t>
      </w:r>
      <w:r>
        <w:rPr>
          <w:rFonts w:ascii="Times New Roman" w:hAnsi="Times New Roman" w:eastAsia="方正仿宋_GBK" w:cs="Times New Roman"/>
        </w:rPr>
        <w:t>“</w:t>
      </w:r>
      <w:r>
        <w:rPr>
          <w:rFonts w:ascii="Times New Roman" w:hAnsi="Times New Roman" w:cs="Times New Roman"/>
        </w:rPr>
        <w:t>5+2+X</w:t>
      </w:r>
      <w:r>
        <w:rPr>
          <w:rFonts w:ascii="Times New Roman" w:hAnsi="Times New Roman" w:eastAsia="方正仿宋_GBK" w:cs="Times New Roman"/>
        </w:rPr>
        <w:t>”</w:t>
      </w:r>
      <w:r>
        <w:rPr>
          <w:rFonts w:ascii="Times New Roman" w:hAnsi="Times New Roman" w:cs="Times New Roman"/>
        </w:rPr>
        <w:t>制造业</w:t>
      </w:r>
      <w:bookmarkEnd w:id="144"/>
      <w:bookmarkEnd w:id="145"/>
      <w:bookmarkEnd w:id="146"/>
      <w:bookmarkEnd w:id="147"/>
      <w:bookmarkEnd w:id="148"/>
      <w:bookmarkEnd w:id="149"/>
      <w:bookmarkEnd w:id="150"/>
      <w:bookmarkEnd w:id="151"/>
      <w:bookmarkEnd w:id="152"/>
      <w:bookmarkEnd w:id="153"/>
      <w:bookmarkEnd w:id="154"/>
      <w:bookmarkEnd w:id="155"/>
      <w:r>
        <w:rPr>
          <w:rFonts w:ascii="Times New Roman" w:hAnsi="Times New Roman" w:cs="Times New Roman"/>
        </w:rPr>
        <w:t>集群</w:t>
      </w:r>
      <w:bookmarkEnd w:id="156"/>
      <w:bookmarkEnd w:id="157"/>
    </w:p>
    <w:p w14:paraId="2B369790">
      <w:pPr>
        <w:rPr>
          <w:rFonts w:cs="Times New Roman"/>
        </w:rPr>
      </w:pPr>
      <w:r>
        <w:rPr>
          <w:rFonts w:hint="eastAsia" w:ascii="楷体_GB2312" w:eastAsia="楷体_GB2312" w:cs="Times New Roman"/>
        </w:rPr>
        <w:t>提升五大优势产业领先地位</w:t>
      </w:r>
      <w:r>
        <w:rPr>
          <w:rFonts w:cs="Times New Roman"/>
        </w:rPr>
        <w:t>。通过创新驱动发展</w:t>
      </w:r>
      <w:r>
        <w:rPr>
          <w:rFonts w:hint="eastAsia" w:cs="Times New Roman"/>
        </w:rPr>
        <w:t>新材料</w:t>
      </w:r>
      <w:r>
        <w:rPr>
          <w:rFonts w:cs="Times New Roman"/>
        </w:rPr>
        <w:t>、高技术船舶和海洋工程装备、生命健康、智能装备、高端纺织等五大优势产业，推动产品、业态、市场、企业转型，巩固放大技术、品牌、供应链等领域长板优势，</w:t>
      </w:r>
      <w:r>
        <w:rPr>
          <w:rFonts w:hint="eastAsia" w:cs="Times New Roman"/>
          <w:highlight w:val="none"/>
          <w:lang w:eastAsia="zh-CN"/>
        </w:rPr>
        <w:t>推动</w:t>
      </w:r>
      <w:r>
        <w:rPr>
          <w:rFonts w:cs="Times New Roman"/>
        </w:rPr>
        <w:t>产业向技术工艺高峰攀升、向价值链高端迈进。支持</w:t>
      </w:r>
      <w:r>
        <w:rPr>
          <w:rFonts w:hint="eastAsia" w:cs="Times New Roman"/>
        </w:rPr>
        <w:t>新</w:t>
      </w:r>
      <w:r>
        <w:rPr>
          <w:rFonts w:cs="Times New Roman"/>
        </w:rPr>
        <w:t>材料产业开发高</w:t>
      </w:r>
      <w:r>
        <w:rPr>
          <w:rFonts w:hint="eastAsia" w:cs="Times New Roman"/>
          <w:lang w:eastAsia="zh-CN"/>
        </w:rPr>
        <w:t>品质</w:t>
      </w:r>
      <w:r>
        <w:rPr>
          <w:rFonts w:cs="Times New Roman"/>
        </w:rPr>
        <w:t>高价值钢种和高端装备用钢，争取填补国内空白</w:t>
      </w:r>
      <w:r>
        <w:rPr>
          <w:rFonts w:hint="eastAsia" w:cs="Times New Roman"/>
        </w:rPr>
        <w:t>；</w:t>
      </w:r>
      <w:r>
        <w:rPr>
          <w:rFonts w:cs="Times New Roman"/>
        </w:rPr>
        <w:t>推动规模优势向创新优势转型，积极向钛合金、镁合金、功能中间合金、金属间化合物等新兴领域延伸拓展</w:t>
      </w:r>
      <w:r>
        <w:rPr>
          <w:rFonts w:hint="eastAsia" w:cs="Times New Roman"/>
        </w:rPr>
        <w:t>，发展壮大高分子材料、复合材料等前沿新材料</w:t>
      </w:r>
      <w:r>
        <w:rPr>
          <w:rFonts w:cs="Times New Roman"/>
        </w:rPr>
        <w:t>。推动船舶海工产业增强船舶总装和关键配套的核心优势，提升自主设计能力，向深远海装备等前沿领域拓展，从“总装制造”向“总包集成”转型跨越，大力开发“国之重器”和“工业皇冠”。生命健康产业突出医药研发服务优势，发展CXO服务外包模式，提高大分子药、创新药、制剂和高价值医疗器械占比。提升智能装备产业研发、制造与系统集成水平，培育</w:t>
      </w:r>
      <w:r>
        <w:rPr>
          <w:rFonts w:cs="Times New Roman"/>
          <w:sz w:val="30"/>
          <w:szCs w:val="30"/>
        </w:rPr>
        <w:t>工业母机</w:t>
      </w:r>
      <w:r>
        <w:rPr>
          <w:rFonts w:cs="Times New Roman"/>
        </w:rPr>
        <w:t>、智能检测装备等新兴领域，鼓励零部件企业向模块化产品和关键系统转型，整机企业向成套终端装备、智能装备、自主品牌装备升级。加快高端纺织产业转型升级步伐，突出科技、时尚、绿色、健康转型方向，培育功能</w:t>
      </w:r>
      <w:r>
        <w:rPr>
          <w:rFonts w:hint="eastAsia" w:cs="Times New Roman"/>
          <w:highlight w:val="none"/>
          <w:lang w:eastAsia="zh-CN"/>
        </w:rPr>
        <w:t>性</w:t>
      </w:r>
      <w:r>
        <w:rPr>
          <w:rFonts w:cs="Times New Roman"/>
        </w:rPr>
        <w:t>面料、智能穿戴材料等细分领域，强化创意设计和品牌运营等高附加值环节。到2030年，力争培育形成1个千亿级、1个500亿级、1个300亿级产业集群，省级以上特色产业集群实现新突破。</w:t>
      </w:r>
    </w:p>
    <w:p w14:paraId="6861391D">
      <w:pPr>
        <w:ind w:firstLine="0" w:firstLineChars="0"/>
        <w:jc w:val="center"/>
        <w:rPr>
          <w:rFonts w:eastAsia="方正黑体_GBK" w:cs="Times New Roman"/>
          <w:sz w:val="24"/>
          <w:szCs w:val="21"/>
        </w:rPr>
      </w:pPr>
      <w:r>
        <w:rPr>
          <w:rFonts w:eastAsia="黑体" w:cs="Times New Roman"/>
          <w:sz w:val="24"/>
          <w:szCs w:val="21"/>
        </w:rPr>
        <w:t>表</w:t>
      </w:r>
      <w:r>
        <w:rPr>
          <w:rFonts w:eastAsia="方正仿宋_GBK" w:cs="Times New Roman"/>
          <w:sz w:val="24"/>
          <w:szCs w:val="21"/>
        </w:rPr>
        <w:t>3</w:t>
      </w:r>
      <w:r>
        <w:rPr>
          <w:rFonts w:eastAsia="黑体" w:cs="Times New Roman"/>
          <w:sz w:val="24"/>
          <w:szCs w:val="21"/>
        </w:rPr>
        <w:t xml:space="preserve">  五大优势产业发展重点方向和布局</w:t>
      </w:r>
    </w:p>
    <w:tbl>
      <w:tblPr>
        <w:tblStyle w:val="2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84"/>
        <w:gridCol w:w="6113"/>
        <w:gridCol w:w="1685"/>
      </w:tblGrid>
      <w:tr w14:paraId="521E8F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84" w:type="dxa"/>
            <w:vAlign w:val="center"/>
          </w:tcPr>
          <w:p w14:paraId="74D90A83">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eastAsia="方正黑体_GBK" w:cs="Times New Roman"/>
                <w:sz w:val="24"/>
                <w:szCs w:val="21"/>
              </w:rPr>
            </w:pPr>
            <w:r>
              <w:rPr>
                <w:rFonts w:eastAsia="黑体" w:cs="Times New Roman"/>
                <w:sz w:val="24"/>
                <w:szCs w:val="21"/>
              </w:rPr>
              <w:t>产业门类</w:t>
            </w:r>
          </w:p>
        </w:tc>
        <w:tc>
          <w:tcPr>
            <w:tcW w:w="6113" w:type="dxa"/>
            <w:vAlign w:val="center"/>
          </w:tcPr>
          <w:p w14:paraId="457542E5">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eastAsia="方正黑体_GBK" w:cs="Times New Roman"/>
                <w:sz w:val="24"/>
                <w:szCs w:val="21"/>
              </w:rPr>
            </w:pPr>
            <w:r>
              <w:rPr>
                <w:rFonts w:eastAsia="黑体" w:cs="Times New Roman"/>
                <w:sz w:val="24"/>
                <w:szCs w:val="21"/>
              </w:rPr>
              <w:t>重点领域</w:t>
            </w:r>
          </w:p>
        </w:tc>
        <w:tc>
          <w:tcPr>
            <w:tcW w:w="1685" w:type="dxa"/>
            <w:vAlign w:val="center"/>
          </w:tcPr>
          <w:p w14:paraId="3E94160C">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eastAsia="方正黑体_GBK" w:cs="Times New Roman"/>
                <w:sz w:val="24"/>
                <w:szCs w:val="21"/>
              </w:rPr>
            </w:pPr>
            <w:r>
              <w:rPr>
                <w:rFonts w:eastAsia="黑体" w:cs="Times New Roman"/>
                <w:sz w:val="24"/>
                <w:szCs w:val="21"/>
              </w:rPr>
              <w:t>重点板块</w:t>
            </w:r>
          </w:p>
        </w:tc>
      </w:tr>
      <w:tr w14:paraId="3B3FD8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84" w:type="dxa"/>
            <w:vAlign w:val="center"/>
          </w:tcPr>
          <w:p w14:paraId="7971CE05">
            <w:pPr>
              <w:keepNext w:val="0"/>
              <w:keepLines w:val="0"/>
              <w:pageBreakBefore w:val="0"/>
              <w:widowControl w:val="0"/>
              <w:kinsoku/>
              <w:wordWrap/>
              <w:overflowPunct/>
              <w:topLinePunct w:val="0"/>
              <w:autoSpaceDE/>
              <w:autoSpaceDN/>
              <w:bidi w:val="0"/>
              <w:adjustRightInd/>
              <w:snapToGrid/>
              <w:spacing w:line="380" w:lineRule="exact"/>
              <w:ind w:firstLine="0" w:firstLineChars="0"/>
              <w:jc w:val="center"/>
              <w:textAlignment w:val="auto"/>
              <w:rPr>
                <w:rFonts w:cs="Times New Roman"/>
              </w:rPr>
            </w:pPr>
            <w:r>
              <w:rPr>
                <w:rFonts w:hint="eastAsia" w:eastAsia="楷体_GB2312" w:cs="Times New Roman"/>
                <w:sz w:val="24"/>
                <w:szCs w:val="21"/>
              </w:rPr>
              <w:t>新</w:t>
            </w:r>
            <w:r>
              <w:rPr>
                <w:rFonts w:eastAsia="楷体_GB2312" w:cs="Times New Roman"/>
                <w:sz w:val="24"/>
                <w:szCs w:val="21"/>
              </w:rPr>
              <w:t>材料</w:t>
            </w:r>
          </w:p>
        </w:tc>
        <w:tc>
          <w:tcPr>
            <w:tcW w:w="6113" w:type="dxa"/>
            <w:vAlign w:val="center"/>
          </w:tcPr>
          <w:p w14:paraId="1DF98C35">
            <w:pPr>
              <w:keepNext w:val="0"/>
              <w:keepLines w:val="0"/>
              <w:pageBreakBefore w:val="0"/>
              <w:widowControl w:val="0"/>
              <w:kinsoku/>
              <w:wordWrap/>
              <w:overflowPunct/>
              <w:topLinePunct w:val="0"/>
              <w:autoSpaceDE/>
              <w:autoSpaceDN/>
              <w:bidi w:val="0"/>
              <w:adjustRightInd/>
              <w:snapToGrid/>
              <w:spacing w:line="380" w:lineRule="exact"/>
              <w:ind w:firstLine="0" w:firstLineChars="0"/>
              <w:textAlignment w:val="auto"/>
              <w:rPr>
                <w:rFonts w:eastAsia="方正仿宋_GBK" w:cs="Times New Roman"/>
              </w:rPr>
            </w:pPr>
            <w:r>
              <w:rPr>
                <w:rFonts w:cs="Times New Roman"/>
                <w:sz w:val="24"/>
                <w:szCs w:val="21"/>
              </w:rPr>
              <w:t>围绕先进钢铁材料，吸引精品钢、优特钢研发中心布局，发展航空航天、能源装备、船舶海工、医疗器械、交通装备用合金材料，积极向钛合金、镁合金、功能中间合金、金属间化合物等新兴领域延伸拓展</w:t>
            </w:r>
            <w:r>
              <w:rPr>
                <w:rFonts w:hint="eastAsia" w:cs="Times New Roman"/>
                <w:sz w:val="24"/>
                <w:szCs w:val="21"/>
              </w:rPr>
              <w:t>，发展先进高分子材料、高性能纤维及复合材料、特种陶瓷及玻璃、光电子信息材料、前沿新材料等领域。</w:t>
            </w:r>
          </w:p>
        </w:tc>
        <w:tc>
          <w:tcPr>
            <w:tcW w:w="1685" w:type="dxa"/>
            <w:vAlign w:val="center"/>
          </w:tcPr>
          <w:p w14:paraId="0984806F">
            <w:pPr>
              <w:keepNext w:val="0"/>
              <w:keepLines w:val="0"/>
              <w:pageBreakBefore w:val="0"/>
              <w:widowControl w:val="0"/>
              <w:kinsoku/>
              <w:wordWrap/>
              <w:overflowPunct/>
              <w:topLinePunct w:val="0"/>
              <w:autoSpaceDE/>
              <w:autoSpaceDN/>
              <w:bidi w:val="0"/>
              <w:adjustRightInd/>
              <w:snapToGrid/>
              <w:spacing w:line="380" w:lineRule="exact"/>
              <w:ind w:firstLine="0" w:firstLineChars="0"/>
              <w:textAlignment w:val="auto"/>
              <w:rPr>
                <w:rFonts w:eastAsia="方正仿宋_GBK" w:cs="Times New Roman"/>
                <w:sz w:val="24"/>
                <w:szCs w:val="21"/>
              </w:rPr>
            </w:pPr>
            <w:r>
              <w:rPr>
                <w:rFonts w:cs="Times New Roman"/>
                <w:sz w:val="24"/>
                <w:szCs w:val="21"/>
              </w:rPr>
              <w:t>海门港经开区、海门开发区、四甲镇、悦来镇</w:t>
            </w:r>
          </w:p>
        </w:tc>
      </w:tr>
      <w:tr w14:paraId="54116A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84" w:type="dxa"/>
            <w:vAlign w:val="center"/>
          </w:tcPr>
          <w:p w14:paraId="1B530723">
            <w:pPr>
              <w:keepNext w:val="0"/>
              <w:keepLines w:val="0"/>
              <w:pageBreakBefore w:val="0"/>
              <w:widowControl w:val="0"/>
              <w:kinsoku/>
              <w:wordWrap/>
              <w:overflowPunct/>
              <w:topLinePunct w:val="0"/>
              <w:autoSpaceDE/>
              <w:autoSpaceDN/>
              <w:bidi w:val="0"/>
              <w:adjustRightInd/>
              <w:snapToGrid/>
              <w:spacing w:line="380" w:lineRule="exact"/>
              <w:ind w:firstLine="0" w:firstLineChars="0"/>
              <w:jc w:val="center"/>
              <w:textAlignment w:val="auto"/>
              <w:rPr>
                <w:rFonts w:cs="Times New Roman"/>
              </w:rPr>
            </w:pPr>
            <w:r>
              <w:rPr>
                <w:rFonts w:eastAsia="楷体_GB2312" w:cs="Times New Roman"/>
                <w:sz w:val="24"/>
                <w:szCs w:val="21"/>
              </w:rPr>
              <w:t>高技术船舶和海洋工程装备</w:t>
            </w:r>
          </w:p>
        </w:tc>
        <w:tc>
          <w:tcPr>
            <w:tcW w:w="6113" w:type="dxa"/>
            <w:vAlign w:val="center"/>
          </w:tcPr>
          <w:p w14:paraId="5B459671">
            <w:pPr>
              <w:keepNext w:val="0"/>
              <w:keepLines w:val="0"/>
              <w:pageBreakBefore w:val="0"/>
              <w:widowControl w:val="0"/>
              <w:kinsoku/>
              <w:wordWrap/>
              <w:overflowPunct/>
              <w:topLinePunct w:val="0"/>
              <w:autoSpaceDE/>
              <w:autoSpaceDN/>
              <w:bidi w:val="0"/>
              <w:adjustRightInd/>
              <w:snapToGrid/>
              <w:spacing w:line="380" w:lineRule="exact"/>
              <w:ind w:firstLine="0" w:firstLineChars="0"/>
              <w:textAlignment w:val="auto"/>
              <w:rPr>
                <w:rFonts w:cs="Times New Roman"/>
              </w:rPr>
            </w:pPr>
            <w:r>
              <w:rPr>
                <w:rFonts w:cs="Times New Roman"/>
                <w:sz w:val="24"/>
                <w:szCs w:val="21"/>
              </w:rPr>
              <w:t>提升自主设计能力，强化船舶海工舾装、信息化、智能化系统配套水平，重点发展FPSO、豪华邮轮、LNG运输船以及特种船舶、工程船舶。顺应航运绿色发展方向，积极发展绿色智能船舶，加大绿色新型发动机、低碳零碳燃料等技术与产品研发。</w:t>
            </w:r>
          </w:p>
        </w:tc>
        <w:tc>
          <w:tcPr>
            <w:tcW w:w="1685" w:type="dxa"/>
            <w:vAlign w:val="center"/>
          </w:tcPr>
          <w:p w14:paraId="17A946E5">
            <w:pPr>
              <w:keepNext w:val="0"/>
              <w:keepLines w:val="0"/>
              <w:pageBreakBefore w:val="0"/>
              <w:widowControl w:val="0"/>
              <w:kinsoku/>
              <w:wordWrap/>
              <w:overflowPunct/>
              <w:topLinePunct w:val="0"/>
              <w:autoSpaceDE/>
              <w:autoSpaceDN/>
              <w:bidi w:val="0"/>
              <w:adjustRightInd/>
              <w:snapToGrid/>
              <w:spacing w:line="380" w:lineRule="exact"/>
              <w:ind w:firstLine="0" w:firstLineChars="0"/>
              <w:textAlignment w:val="auto"/>
              <w:rPr>
                <w:rFonts w:cs="Times New Roman"/>
              </w:rPr>
            </w:pPr>
            <w:r>
              <w:rPr>
                <w:rFonts w:cs="Times New Roman"/>
                <w:sz w:val="24"/>
                <w:szCs w:val="21"/>
              </w:rPr>
              <w:t>海门开发区、海门港经开区、常乐镇</w:t>
            </w:r>
          </w:p>
        </w:tc>
      </w:tr>
      <w:tr w14:paraId="281A06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84" w:type="dxa"/>
            <w:vAlign w:val="center"/>
          </w:tcPr>
          <w:p w14:paraId="3B2F89E4">
            <w:pPr>
              <w:keepNext w:val="0"/>
              <w:keepLines w:val="0"/>
              <w:pageBreakBefore w:val="0"/>
              <w:widowControl w:val="0"/>
              <w:kinsoku/>
              <w:wordWrap/>
              <w:overflowPunct/>
              <w:topLinePunct w:val="0"/>
              <w:autoSpaceDE/>
              <w:autoSpaceDN/>
              <w:bidi w:val="0"/>
              <w:adjustRightInd/>
              <w:snapToGrid/>
              <w:spacing w:line="380" w:lineRule="exact"/>
              <w:ind w:firstLine="0" w:firstLineChars="0"/>
              <w:jc w:val="center"/>
              <w:textAlignment w:val="auto"/>
              <w:rPr>
                <w:rFonts w:cs="Times New Roman"/>
              </w:rPr>
            </w:pPr>
            <w:r>
              <w:rPr>
                <w:rFonts w:eastAsia="楷体_GB2312" w:cs="Times New Roman"/>
                <w:sz w:val="24"/>
                <w:szCs w:val="21"/>
              </w:rPr>
              <w:t>生命健康</w:t>
            </w:r>
          </w:p>
        </w:tc>
        <w:tc>
          <w:tcPr>
            <w:tcW w:w="6113" w:type="dxa"/>
            <w:vAlign w:val="center"/>
          </w:tcPr>
          <w:p w14:paraId="29C9BE0E">
            <w:pPr>
              <w:keepNext w:val="0"/>
              <w:keepLines w:val="0"/>
              <w:pageBreakBefore w:val="0"/>
              <w:widowControl w:val="0"/>
              <w:kinsoku/>
              <w:wordWrap/>
              <w:overflowPunct/>
              <w:topLinePunct w:val="0"/>
              <w:autoSpaceDE/>
              <w:autoSpaceDN/>
              <w:bidi w:val="0"/>
              <w:adjustRightInd/>
              <w:snapToGrid/>
              <w:spacing w:line="380" w:lineRule="exact"/>
              <w:ind w:firstLine="0" w:firstLineChars="0"/>
              <w:textAlignment w:val="auto"/>
              <w:rPr>
                <w:rFonts w:cs="Times New Roman"/>
              </w:rPr>
            </w:pPr>
            <w:r>
              <w:rPr>
                <w:rFonts w:cs="Times New Roman"/>
                <w:sz w:val="24"/>
                <w:szCs w:val="21"/>
              </w:rPr>
              <w:t>推动小分子药与大分子药、创新药与仿制药、原料药与制剂协同发展，支持服务外包，鼓励CRO、CDMO模式。提升Ⅱ类、Ⅲ类医药器械占比，引培“BT+IT”项目，着力发展高端影像设备、植介入器械及耗材、体外诊断等。支持新型食品、特医食品以及功能性食品研发。</w:t>
            </w:r>
          </w:p>
        </w:tc>
        <w:tc>
          <w:tcPr>
            <w:tcW w:w="1685" w:type="dxa"/>
            <w:vAlign w:val="center"/>
          </w:tcPr>
          <w:p w14:paraId="3B8CEAD7">
            <w:pPr>
              <w:keepNext w:val="0"/>
              <w:keepLines w:val="0"/>
              <w:pageBreakBefore w:val="0"/>
              <w:widowControl w:val="0"/>
              <w:kinsoku/>
              <w:wordWrap/>
              <w:overflowPunct/>
              <w:topLinePunct w:val="0"/>
              <w:autoSpaceDE/>
              <w:autoSpaceDN/>
              <w:bidi w:val="0"/>
              <w:adjustRightInd/>
              <w:snapToGrid/>
              <w:spacing w:line="380" w:lineRule="exact"/>
              <w:ind w:firstLine="0" w:firstLineChars="0"/>
              <w:textAlignment w:val="auto"/>
              <w:rPr>
                <w:rFonts w:eastAsia="方正仿宋_GBK" w:cs="Times New Roman"/>
                <w:sz w:val="24"/>
                <w:szCs w:val="21"/>
              </w:rPr>
            </w:pPr>
            <w:r>
              <w:rPr>
                <w:rFonts w:cs="Times New Roman"/>
                <w:sz w:val="24"/>
                <w:szCs w:val="21"/>
              </w:rPr>
              <w:t>海门开发区、海门高新区、三厂工业园区、悦来镇</w:t>
            </w:r>
          </w:p>
        </w:tc>
      </w:tr>
      <w:tr w14:paraId="38A952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84" w:type="dxa"/>
            <w:vAlign w:val="center"/>
          </w:tcPr>
          <w:p w14:paraId="09683484">
            <w:pPr>
              <w:keepNext w:val="0"/>
              <w:keepLines w:val="0"/>
              <w:pageBreakBefore w:val="0"/>
              <w:widowControl w:val="0"/>
              <w:kinsoku/>
              <w:wordWrap/>
              <w:overflowPunct/>
              <w:topLinePunct w:val="0"/>
              <w:autoSpaceDE/>
              <w:autoSpaceDN/>
              <w:bidi w:val="0"/>
              <w:adjustRightInd/>
              <w:snapToGrid/>
              <w:spacing w:line="380" w:lineRule="exact"/>
              <w:ind w:firstLine="0" w:firstLineChars="0"/>
              <w:jc w:val="center"/>
              <w:textAlignment w:val="auto"/>
              <w:rPr>
                <w:rFonts w:cs="Times New Roman"/>
              </w:rPr>
            </w:pPr>
            <w:r>
              <w:rPr>
                <w:rFonts w:eastAsia="楷体_GB2312" w:cs="Times New Roman"/>
                <w:sz w:val="24"/>
                <w:szCs w:val="21"/>
              </w:rPr>
              <w:t>智能装备</w:t>
            </w:r>
          </w:p>
        </w:tc>
        <w:tc>
          <w:tcPr>
            <w:tcW w:w="6113" w:type="dxa"/>
            <w:vAlign w:val="center"/>
          </w:tcPr>
          <w:p w14:paraId="7DB35A1B">
            <w:pPr>
              <w:keepNext w:val="0"/>
              <w:keepLines w:val="0"/>
              <w:pageBreakBefore w:val="0"/>
              <w:widowControl w:val="0"/>
              <w:kinsoku/>
              <w:wordWrap/>
              <w:overflowPunct/>
              <w:topLinePunct w:val="0"/>
              <w:autoSpaceDE/>
              <w:autoSpaceDN/>
              <w:bidi w:val="0"/>
              <w:adjustRightInd/>
              <w:snapToGrid/>
              <w:spacing w:line="380" w:lineRule="exact"/>
              <w:ind w:firstLine="0" w:firstLineChars="0"/>
              <w:textAlignment w:val="auto"/>
              <w:rPr>
                <w:rFonts w:eastAsia="方正仿宋_GBK" w:cs="Times New Roman"/>
                <w:sz w:val="24"/>
                <w:szCs w:val="21"/>
              </w:rPr>
            </w:pPr>
            <w:r>
              <w:rPr>
                <w:rFonts w:hint="eastAsia" w:ascii="仿宋_GB2312" w:hAnsi="仿宋_GB2312" w:eastAsia="仿宋_GB2312" w:cs="仿宋_GB2312"/>
                <w:sz w:val="24"/>
                <w:szCs w:val="21"/>
              </w:rPr>
              <w:t>巩固机器人、汽车零部件传统优势，推动工业、特种、服务等品类机器人协同发展，部署减速器、传感器等核心零部件，拓展新能源汽车关键核心系统。培育壮大工业母机、智能检测设备、智能电网、商业航天等新兴领域规模。</w:t>
            </w:r>
          </w:p>
        </w:tc>
        <w:tc>
          <w:tcPr>
            <w:tcW w:w="1685" w:type="dxa"/>
            <w:vAlign w:val="center"/>
          </w:tcPr>
          <w:p w14:paraId="6494B9D0">
            <w:pPr>
              <w:keepNext w:val="0"/>
              <w:keepLines w:val="0"/>
              <w:pageBreakBefore w:val="0"/>
              <w:widowControl w:val="0"/>
              <w:kinsoku/>
              <w:wordWrap/>
              <w:overflowPunct/>
              <w:topLinePunct w:val="0"/>
              <w:autoSpaceDE/>
              <w:autoSpaceDN/>
              <w:bidi w:val="0"/>
              <w:adjustRightInd/>
              <w:snapToGrid/>
              <w:spacing w:line="380" w:lineRule="exact"/>
              <w:ind w:firstLine="0" w:firstLineChars="0"/>
              <w:textAlignment w:val="auto"/>
              <w:rPr>
                <w:rFonts w:cs="Times New Roman"/>
                <w:sz w:val="24"/>
                <w:szCs w:val="21"/>
              </w:rPr>
            </w:pPr>
            <w:r>
              <w:rPr>
                <w:rFonts w:cs="Times New Roman"/>
                <w:sz w:val="24"/>
                <w:szCs w:val="21"/>
              </w:rPr>
              <w:t>海门开发区、海门港经开区、正余镇、四甲镇、余东镇、常乐镇</w:t>
            </w:r>
          </w:p>
        </w:tc>
      </w:tr>
      <w:tr w14:paraId="4FE646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84" w:type="dxa"/>
            <w:vAlign w:val="center"/>
          </w:tcPr>
          <w:p w14:paraId="52BEAA39">
            <w:pPr>
              <w:keepNext w:val="0"/>
              <w:keepLines w:val="0"/>
              <w:pageBreakBefore w:val="0"/>
              <w:widowControl w:val="0"/>
              <w:kinsoku/>
              <w:wordWrap/>
              <w:overflowPunct/>
              <w:topLinePunct w:val="0"/>
              <w:autoSpaceDE/>
              <w:autoSpaceDN/>
              <w:bidi w:val="0"/>
              <w:adjustRightInd/>
              <w:snapToGrid/>
              <w:spacing w:line="380" w:lineRule="exact"/>
              <w:ind w:firstLine="0" w:firstLineChars="0"/>
              <w:jc w:val="center"/>
              <w:textAlignment w:val="auto"/>
              <w:rPr>
                <w:rFonts w:cs="Times New Roman"/>
              </w:rPr>
            </w:pPr>
            <w:r>
              <w:rPr>
                <w:rFonts w:eastAsia="楷体_GB2312" w:cs="Times New Roman"/>
                <w:sz w:val="24"/>
                <w:szCs w:val="21"/>
              </w:rPr>
              <w:t>高端纺织</w:t>
            </w:r>
          </w:p>
        </w:tc>
        <w:tc>
          <w:tcPr>
            <w:tcW w:w="6113" w:type="dxa"/>
            <w:vAlign w:val="center"/>
          </w:tcPr>
          <w:p w14:paraId="77952831">
            <w:pPr>
              <w:keepNext w:val="0"/>
              <w:keepLines w:val="0"/>
              <w:pageBreakBefore w:val="0"/>
              <w:widowControl w:val="0"/>
              <w:kinsoku/>
              <w:wordWrap/>
              <w:overflowPunct/>
              <w:topLinePunct w:val="0"/>
              <w:autoSpaceDE/>
              <w:autoSpaceDN/>
              <w:bidi w:val="0"/>
              <w:adjustRightInd/>
              <w:snapToGrid/>
              <w:spacing w:line="380" w:lineRule="exact"/>
              <w:ind w:firstLine="0" w:firstLineChars="0"/>
              <w:textAlignment w:val="auto"/>
              <w:rPr>
                <w:rFonts w:hint="default" w:ascii="Times New Roman" w:hAnsi="Times New Roman" w:eastAsia="仿宋_GB2312" w:cs="Times New Roman"/>
              </w:rPr>
            </w:pPr>
            <w:r>
              <w:rPr>
                <w:rFonts w:hint="default" w:ascii="Times New Roman" w:hAnsi="Times New Roman" w:eastAsia="仿宋_GB2312" w:cs="Times New Roman"/>
                <w:sz w:val="24"/>
                <w:szCs w:val="21"/>
              </w:rPr>
              <w:t>积极应对新形势，强化AI赋能，系统提升研发制图设计、高性能纤维开发、先进工艺织造、非水介质印染、区域品牌打造、线上线下销售、供应链管理等环节，着力提升中国叠石桥国际家纺城全产业链服务功能和知名度。</w:t>
            </w:r>
          </w:p>
        </w:tc>
        <w:tc>
          <w:tcPr>
            <w:tcW w:w="1685" w:type="dxa"/>
            <w:vAlign w:val="center"/>
          </w:tcPr>
          <w:p w14:paraId="3033D7B0">
            <w:pPr>
              <w:keepNext w:val="0"/>
              <w:keepLines w:val="0"/>
              <w:pageBreakBefore w:val="0"/>
              <w:widowControl w:val="0"/>
              <w:kinsoku/>
              <w:wordWrap/>
              <w:overflowPunct/>
              <w:topLinePunct w:val="0"/>
              <w:autoSpaceDE/>
              <w:autoSpaceDN/>
              <w:bidi w:val="0"/>
              <w:adjustRightInd/>
              <w:snapToGrid/>
              <w:spacing w:line="380" w:lineRule="exact"/>
              <w:ind w:firstLine="0" w:firstLineChars="0"/>
              <w:textAlignment w:val="auto"/>
              <w:rPr>
                <w:rFonts w:hint="eastAsia" w:ascii="仿宋_GB2312" w:hAnsi="仿宋_GB2312" w:eastAsia="仿宋_GB2312" w:cs="仿宋_GB2312"/>
                <w:sz w:val="24"/>
                <w:szCs w:val="21"/>
              </w:rPr>
            </w:pPr>
            <w:r>
              <w:rPr>
                <w:rFonts w:hint="eastAsia" w:ascii="仿宋_GB2312" w:hAnsi="仿宋_GB2312" w:eastAsia="仿宋_GB2312" w:cs="仿宋_GB2312"/>
                <w:sz w:val="24"/>
                <w:szCs w:val="21"/>
              </w:rPr>
              <w:t>三星镇、海门港经开区</w:t>
            </w:r>
          </w:p>
        </w:tc>
      </w:tr>
    </w:tbl>
    <w:p w14:paraId="502740CB">
      <w:pPr>
        <w:keepNext w:val="0"/>
        <w:keepLines w:val="0"/>
        <w:pageBreakBefore w:val="0"/>
        <w:widowControl w:val="0"/>
        <w:kinsoku/>
        <w:wordWrap/>
        <w:overflowPunct/>
        <w:topLinePunct w:val="0"/>
        <w:autoSpaceDE/>
        <w:autoSpaceDN/>
        <w:bidi w:val="0"/>
        <w:adjustRightInd/>
        <w:snapToGrid/>
        <w:spacing w:line="240" w:lineRule="exact"/>
        <w:textAlignment w:val="auto"/>
        <w:rPr>
          <w:rFonts w:eastAsia="楷体_GB2312" w:cs="Times New Roman"/>
        </w:rPr>
      </w:pPr>
    </w:p>
    <w:p w14:paraId="0CED9D1E">
      <w:pPr>
        <w:keepNext w:val="0"/>
        <w:keepLines w:val="0"/>
        <w:pageBreakBefore w:val="0"/>
        <w:widowControl w:val="0"/>
        <w:kinsoku/>
        <w:wordWrap/>
        <w:overflowPunct/>
        <w:topLinePunct w:val="0"/>
        <w:autoSpaceDE/>
        <w:autoSpaceDN/>
        <w:bidi w:val="0"/>
        <w:adjustRightInd/>
        <w:snapToGrid/>
        <w:textAlignment w:val="auto"/>
        <w:rPr>
          <w:rFonts w:eastAsia="方正仿宋_GBK" w:cs="Times New Roman"/>
        </w:rPr>
      </w:pPr>
      <w:r>
        <w:rPr>
          <w:rFonts w:hint="eastAsia" w:ascii="楷体_GB2312" w:eastAsia="楷体_GB2312" w:cs="Times New Roman"/>
        </w:rPr>
        <w:t>推动两大成长型产业做优做特</w:t>
      </w:r>
      <w:r>
        <w:rPr>
          <w:rFonts w:eastAsia="楷体_GB2312" w:cs="Times New Roman"/>
        </w:rPr>
        <w:t>。</w:t>
      </w:r>
      <w:r>
        <w:rPr>
          <w:rFonts w:cs="Times New Roman"/>
        </w:rPr>
        <w:t>推动新一代信息技术、新能源两大成长型产业聚焦优势环节特色发展，统筹推进规模能级提升、产业布局优化、协同创新突破、基础能力升级、标准品牌打造，不断提升产业规模化、集群化发展水平，建设成为全区产业重要增长引擎和新标识。巩固光纤、光缆传统优势，系统布局集成电路产业链，聚焦材料设备、器件模组、设计封测等环节，加快融入长三角集成电路产业链供应链。大力发展新能源电池材料和风电装备，布局新型光伏电池组件，支持固态电池、新型储能和氢能等新技术研发储备。到2030年，力争两大成长型产业规模均达200亿级。</w:t>
      </w:r>
    </w:p>
    <w:p w14:paraId="12B1348F">
      <w:pPr>
        <w:ind w:firstLine="0" w:firstLineChars="0"/>
        <w:jc w:val="center"/>
        <w:rPr>
          <w:rFonts w:cs="Times New Roman"/>
        </w:rPr>
      </w:pPr>
      <w:r>
        <w:rPr>
          <w:rFonts w:eastAsia="黑体" w:cs="Times New Roman"/>
          <w:sz w:val="24"/>
          <w:szCs w:val="21"/>
        </w:rPr>
        <w:t>表4  两大成长型产业发展重点方向和布局</w:t>
      </w:r>
    </w:p>
    <w:tbl>
      <w:tblPr>
        <w:tblStyle w:val="2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17"/>
        <w:gridCol w:w="6270"/>
        <w:gridCol w:w="1534"/>
      </w:tblGrid>
      <w:tr w14:paraId="72BCD9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17" w:type="dxa"/>
            <w:vAlign w:val="center"/>
          </w:tcPr>
          <w:p w14:paraId="333A0F51">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eastAsia="方正黑体_GBK" w:cs="Times New Roman"/>
                <w:sz w:val="24"/>
                <w:szCs w:val="21"/>
              </w:rPr>
            </w:pPr>
            <w:r>
              <w:rPr>
                <w:rFonts w:eastAsia="黑体" w:cs="Times New Roman"/>
                <w:sz w:val="24"/>
                <w:szCs w:val="21"/>
              </w:rPr>
              <w:t>产业门类</w:t>
            </w:r>
          </w:p>
        </w:tc>
        <w:tc>
          <w:tcPr>
            <w:tcW w:w="6270" w:type="dxa"/>
            <w:vAlign w:val="center"/>
          </w:tcPr>
          <w:p w14:paraId="556A6733">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eastAsia="方正黑体_GBK" w:cs="Times New Roman"/>
                <w:sz w:val="24"/>
                <w:szCs w:val="21"/>
              </w:rPr>
            </w:pPr>
            <w:r>
              <w:rPr>
                <w:rFonts w:eastAsia="黑体" w:cs="Times New Roman"/>
                <w:sz w:val="24"/>
                <w:szCs w:val="21"/>
              </w:rPr>
              <w:t>重点领域</w:t>
            </w:r>
          </w:p>
        </w:tc>
        <w:tc>
          <w:tcPr>
            <w:tcW w:w="1534" w:type="dxa"/>
            <w:vAlign w:val="center"/>
          </w:tcPr>
          <w:p w14:paraId="6E05E205">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eastAsia="方正黑体_GBK" w:cs="Times New Roman"/>
                <w:sz w:val="24"/>
                <w:szCs w:val="21"/>
              </w:rPr>
            </w:pPr>
            <w:r>
              <w:rPr>
                <w:rFonts w:eastAsia="黑体" w:cs="Times New Roman"/>
                <w:sz w:val="24"/>
                <w:szCs w:val="21"/>
              </w:rPr>
              <w:t>重点板块</w:t>
            </w:r>
          </w:p>
        </w:tc>
      </w:tr>
      <w:tr w14:paraId="433AD6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17" w:type="dxa"/>
            <w:vAlign w:val="center"/>
          </w:tcPr>
          <w:p w14:paraId="51F0A465">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cs="Times New Roman"/>
              </w:rPr>
            </w:pPr>
            <w:r>
              <w:rPr>
                <w:rFonts w:eastAsia="楷体_GB2312" w:cs="Times New Roman"/>
                <w:sz w:val="24"/>
                <w:szCs w:val="21"/>
              </w:rPr>
              <w:t>新一代信息技术</w:t>
            </w:r>
          </w:p>
        </w:tc>
        <w:tc>
          <w:tcPr>
            <w:tcW w:w="6270" w:type="dxa"/>
            <w:vAlign w:val="center"/>
          </w:tcPr>
          <w:p w14:paraId="17DF86A5">
            <w:pPr>
              <w:keepNext w:val="0"/>
              <w:keepLines w:val="0"/>
              <w:pageBreakBefore w:val="0"/>
              <w:widowControl w:val="0"/>
              <w:kinsoku/>
              <w:wordWrap/>
              <w:overflowPunct/>
              <w:topLinePunct w:val="0"/>
              <w:autoSpaceDE/>
              <w:autoSpaceDN/>
              <w:bidi w:val="0"/>
              <w:adjustRightInd/>
              <w:snapToGrid/>
              <w:spacing w:line="400" w:lineRule="exact"/>
              <w:ind w:firstLine="0" w:firstLineChars="0"/>
              <w:textAlignment w:val="auto"/>
              <w:rPr>
                <w:rFonts w:cs="Times New Roman"/>
                <w:sz w:val="24"/>
                <w:szCs w:val="21"/>
              </w:rPr>
            </w:pPr>
            <w:r>
              <w:rPr>
                <w:rFonts w:cs="Times New Roman"/>
                <w:sz w:val="24"/>
                <w:szCs w:val="21"/>
              </w:rPr>
              <w:t>巩固光纤、光缆优势，培育1.6T、3.2T高速率光模块，发展CPO（光电共封装）技术。聚焦光通信和光电显示芯片布局制造、封装、检测等生产环节，发展芯片制造设备、封装检测设备等半导体装备，发展半导体材料、功率器件、传感器等细分领域。推动智能终端、IGBT、电容器、高端电子连接器及其他电子元器（部）件集聚发展。</w:t>
            </w:r>
          </w:p>
        </w:tc>
        <w:tc>
          <w:tcPr>
            <w:tcW w:w="1534" w:type="dxa"/>
            <w:vAlign w:val="center"/>
          </w:tcPr>
          <w:p w14:paraId="753D1425">
            <w:pPr>
              <w:keepNext w:val="0"/>
              <w:keepLines w:val="0"/>
              <w:pageBreakBefore w:val="0"/>
              <w:widowControl w:val="0"/>
              <w:kinsoku/>
              <w:wordWrap/>
              <w:overflowPunct/>
              <w:topLinePunct w:val="0"/>
              <w:autoSpaceDE/>
              <w:autoSpaceDN/>
              <w:bidi w:val="0"/>
              <w:adjustRightInd/>
              <w:snapToGrid/>
              <w:spacing w:line="400" w:lineRule="exact"/>
              <w:ind w:firstLine="0" w:firstLineChars="0"/>
              <w:textAlignment w:val="auto"/>
              <w:rPr>
                <w:rFonts w:cs="Times New Roman"/>
                <w:sz w:val="24"/>
                <w:szCs w:val="21"/>
              </w:rPr>
            </w:pPr>
            <w:r>
              <w:rPr>
                <w:rFonts w:cs="Times New Roman"/>
                <w:sz w:val="24"/>
                <w:szCs w:val="21"/>
              </w:rPr>
              <w:t>海门开发区、海门高新区、海门港经开区</w:t>
            </w:r>
          </w:p>
        </w:tc>
      </w:tr>
      <w:tr w14:paraId="2957E1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17" w:type="dxa"/>
            <w:vAlign w:val="center"/>
          </w:tcPr>
          <w:p w14:paraId="4333F391">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cs="Times New Roman"/>
              </w:rPr>
            </w:pPr>
            <w:r>
              <w:rPr>
                <w:rFonts w:eastAsia="楷体_GB2312" w:cs="Times New Roman"/>
                <w:sz w:val="24"/>
                <w:szCs w:val="21"/>
              </w:rPr>
              <w:t>新能源</w:t>
            </w:r>
          </w:p>
        </w:tc>
        <w:tc>
          <w:tcPr>
            <w:tcW w:w="6270" w:type="dxa"/>
            <w:vAlign w:val="center"/>
          </w:tcPr>
          <w:p w14:paraId="3B13D8E5">
            <w:pPr>
              <w:keepNext w:val="0"/>
              <w:keepLines w:val="0"/>
              <w:pageBreakBefore w:val="0"/>
              <w:widowControl w:val="0"/>
              <w:kinsoku/>
              <w:wordWrap/>
              <w:overflowPunct/>
              <w:topLinePunct w:val="0"/>
              <w:autoSpaceDE/>
              <w:autoSpaceDN/>
              <w:bidi w:val="0"/>
              <w:adjustRightInd/>
              <w:snapToGrid/>
              <w:spacing w:line="400" w:lineRule="exact"/>
              <w:ind w:firstLine="0" w:firstLineChars="0"/>
              <w:textAlignment w:val="auto"/>
              <w:rPr>
                <w:rFonts w:cs="Times New Roman"/>
              </w:rPr>
            </w:pPr>
            <w:r>
              <w:rPr>
                <w:rFonts w:cs="Times New Roman"/>
                <w:sz w:val="24"/>
                <w:szCs w:val="21"/>
              </w:rPr>
              <w:t>推动风光储氢一体化，推动新能源电池材料、电芯、PACK、系统集成协同发展，引培大兆瓦风电整机和关键零部件企业，布局异质结、XBC以及钙钛矿等光伏电池组件，支持固态电池研发储备，加快培育新型储能与氢能。</w:t>
            </w:r>
          </w:p>
        </w:tc>
        <w:tc>
          <w:tcPr>
            <w:tcW w:w="1534" w:type="dxa"/>
            <w:vAlign w:val="center"/>
          </w:tcPr>
          <w:p w14:paraId="03748D28">
            <w:pPr>
              <w:keepNext w:val="0"/>
              <w:keepLines w:val="0"/>
              <w:pageBreakBefore w:val="0"/>
              <w:widowControl w:val="0"/>
              <w:kinsoku/>
              <w:wordWrap/>
              <w:overflowPunct/>
              <w:topLinePunct w:val="0"/>
              <w:autoSpaceDE/>
              <w:autoSpaceDN/>
              <w:bidi w:val="0"/>
              <w:adjustRightInd/>
              <w:snapToGrid/>
              <w:spacing w:line="400" w:lineRule="exact"/>
              <w:ind w:firstLine="0" w:firstLineChars="0"/>
              <w:textAlignment w:val="auto"/>
              <w:rPr>
                <w:rFonts w:cs="Times New Roman"/>
              </w:rPr>
            </w:pPr>
            <w:r>
              <w:rPr>
                <w:rFonts w:cs="Times New Roman"/>
                <w:sz w:val="24"/>
                <w:szCs w:val="21"/>
              </w:rPr>
              <w:t>海门港经开区、海门开发区、三厂工业园区</w:t>
            </w:r>
          </w:p>
        </w:tc>
      </w:tr>
    </w:tbl>
    <w:p w14:paraId="035F2F8D">
      <w:pPr>
        <w:bidi w:val="0"/>
      </w:pPr>
      <w:r>
        <w:rPr>
          <w:rFonts w:hint="eastAsia" w:ascii="楷体_GB2312" w:eastAsia="楷体_GB2312" w:cs="Times New Roman"/>
        </w:rPr>
        <w:t>积极培育产业新赛道。</w:t>
      </w:r>
      <w:r>
        <w:t>依托海门产业发展基础和资源要素优势，协同推进优势产业未来化跃升和前沿技术产业化落地，重点培育大飞机、低空经济等新兴产业和生物制造、人工智能等未来产业。加快新兴产业优质资源集聚、创新设施建设，尽早实现规模化发展。建立未来产业投入增长和风险分担机制，积极开展可行商业模式、市场监管规则等探索，加速形成现实生产力。健全“院所+基金+政策+载体”协同培育机制，争取相关试点示范，推动有条件的开发园区建设未来产业特色园区。</w:t>
      </w:r>
    </w:p>
    <w:tbl>
      <w:tblPr>
        <w:tblStyle w:val="2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60"/>
      </w:tblGrid>
      <w:tr w14:paraId="3C635E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60" w:type="dxa"/>
          </w:tcPr>
          <w:p w14:paraId="75AFF87B">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eastAsia="黑体" w:cs="Times New Roman"/>
                <w:sz w:val="24"/>
                <w:szCs w:val="21"/>
              </w:rPr>
            </w:pPr>
            <w:r>
              <w:rPr>
                <w:rFonts w:eastAsia="黑体" w:cs="Times New Roman"/>
                <w:sz w:val="24"/>
                <w:szCs w:val="21"/>
              </w:rPr>
              <w:t>专栏1  产业新赛道发展重点</w:t>
            </w:r>
          </w:p>
          <w:p w14:paraId="7ADC72BA">
            <w:pPr>
              <w:keepNext w:val="0"/>
              <w:keepLines w:val="0"/>
              <w:pageBreakBefore w:val="0"/>
              <w:widowControl w:val="0"/>
              <w:kinsoku/>
              <w:wordWrap/>
              <w:overflowPunct/>
              <w:topLinePunct w:val="0"/>
              <w:autoSpaceDE/>
              <w:autoSpaceDN/>
              <w:bidi w:val="0"/>
              <w:adjustRightInd/>
              <w:snapToGrid/>
              <w:spacing w:line="400" w:lineRule="exact"/>
              <w:ind w:firstLine="480"/>
              <w:textAlignment w:val="auto"/>
              <w:rPr>
                <w:rFonts w:eastAsia="方正仿宋_GBK" w:cs="Times New Roman"/>
                <w:sz w:val="24"/>
                <w:shd w:val="clear" w:color="auto" w:fill="FFFFFF"/>
              </w:rPr>
            </w:pPr>
            <w:r>
              <w:rPr>
                <w:rFonts w:eastAsia="楷体_GB2312" w:cs="Times New Roman"/>
                <w:sz w:val="24"/>
              </w:rPr>
              <w:t>生物制造。</w:t>
            </w:r>
            <w:r>
              <w:rPr>
                <w:rFonts w:cs="Times New Roman"/>
                <w:sz w:val="24"/>
                <w:shd w:val="clear" w:color="auto" w:fill="FFFFFF"/>
              </w:rPr>
              <w:t>鼓励生物技术研发和应用，加快推动生物技术在生物医药、医疗器械、食品、先进材料、农业等领域创新应用，重点发展功能食品添加剂、功能性健康食品、高端化妆品原料、生物农药、生物饲料、生物蛋白、生物酶等细分赛道。</w:t>
            </w:r>
          </w:p>
          <w:p w14:paraId="762A4712">
            <w:pPr>
              <w:keepNext w:val="0"/>
              <w:keepLines w:val="0"/>
              <w:pageBreakBefore w:val="0"/>
              <w:widowControl w:val="0"/>
              <w:kinsoku/>
              <w:wordWrap/>
              <w:overflowPunct/>
              <w:topLinePunct w:val="0"/>
              <w:autoSpaceDE/>
              <w:autoSpaceDN/>
              <w:bidi w:val="0"/>
              <w:adjustRightInd/>
              <w:snapToGrid/>
              <w:spacing w:line="400" w:lineRule="exact"/>
              <w:ind w:firstLine="480"/>
              <w:textAlignment w:val="auto"/>
              <w:rPr>
                <w:rFonts w:eastAsia="方正仿宋_GBK" w:cs="Times New Roman"/>
                <w:sz w:val="24"/>
                <w:shd w:val="clear" w:color="auto" w:fill="FFFFFF"/>
              </w:rPr>
            </w:pPr>
            <w:r>
              <w:rPr>
                <w:rFonts w:eastAsia="楷体_GB2312" w:cs="Times New Roman"/>
                <w:sz w:val="24"/>
              </w:rPr>
              <w:t>人工智能</w:t>
            </w:r>
            <w:r>
              <w:rPr>
                <w:rFonts w:eastAsia="楷体_GB2312" w:cs="Times New Roman"/>
                <w:sz w:val="24"/>
                <w:shd w:val="clear" w:color="auto" w:fill="FFFFFF"/>
              </w:rPr>
              <w:t>。</w:t>
            </w:r>
            <w:r>
              <w:rPr>
                <w:rFonts w:hint="default" w:ascii="Times New Roman" w:hAnsi="Times New Roman" w:eastAsia="仿宋_GB2312" w:cs="Times New Roman"/>
                <w:sz w:val="24"/>
                <w:shd w:val="clear" w:color="auto" w:fill="FFFFFF"/>
              </w:rPr>
              <w:t>夯实大模型、高质量数据集等核心基础，加快引进通用人工智能项目，支持AI电脑、AI手机、智能可穿戴设备、AI虚拟现实设备等智能硬件产品研发推广，积极发展具身机器整机以及仿人机械臂、灵巧手、机器人关节、智能传感器、视觉相机等重要零部件。加快算力基础设施建设和算力服务应用布局。谋划建设智算产业园。</w:t>
            </w:r>
          </w:p>
          <w:p w14:paraId="4EF58755">
            <w:pPr>
              <w:keepNext w:val="0"/>
              <w:keepLines w:val="0"/>
              <w:pageBreakBefore w:val="0"/>
              <w:widowControl w:val="0"/>
              <w:kinsoku/>
              <w:wordWrap/>
              <w:overflowPunct/>
              <w:topLinePunct w:val="0"/>
              <w:autoSpaceDE/>
              <w:autoSpaceDN/>
              <w:bidi w:val="0"/>
              <w:adjustRightInd/>
              <w:snapToGrid/>
              <w:spacing w:line="400" w:lineRule="exact"/>
              <w:ind w:firstLine="480"/>
              <w:textAlignment w:val="auto"/>
              <w:rPr>
                <w:rFonts w:cs="Times New Roman"/>
                <w:sz w:val="24"/>
              </w:rPr>
            </w:pPr>
            <w:r>
              <w:rPr>
                <w:rFonts w:eastAsia="楷体_GB2312" w:cs="Times New Roman"/>
                <w:sz w:val="24"/>
              </w:rPr>
              <w:t>低空经济。</w:t>
            </w:r>
            <w:r>
              <w:rPr>
                <w:rFonts w:cs="Times New Roman"/>
                <w:sz w:val="24"/>
              </w:rPr>
              <w:t>发展</w:t>
            </w:r>
            <w:r>
              <w:rPr>
                <w:rFonts w:cs="Times New Roman"/>
                <w:sz w:val="24"/>
                <w:shd w:val="clear" w:color="auto" w:fill="FFFFFF"/>
              </w:rPr>
              <w:t>低空装备制造，支持发展无人机整机制造，积极培育电动垂直起降航空器、倾转旋翼飞行器等航空器关键零部件配套，</w:t>
            </w:r>
            <w:r>
              <w:rPr>
                <w:rFonts w:cs="Times New Roman"/>
                <w:sz w:val="24"/>
              </w:rPr>
              <w:t>开发低空物流、低空旅游、农林植保、消防应急、城市空中交通等低空场景，</w:t>
            </w:r>
            <w:r>
              <w:rPr>
                <w:rFonts w:cs="Times New Roman"/>
                <w:sz w:val="24"/>
                <w:shd w:val="clear" w:color="auto" w:fill="FFFFFF"/>
              </w:rPr>
              <w:t>发展适航审定、检验检测、维修保障、专业培训、场景架构等配套服务。</w:t>
            </w:r>
          </w:p>
          <w:p w14:paraId="3C55A338">
            <w:pPr>
              <w:keepNext w:val="0"/>
              <w:keepLines w:val="0"/>
              <w:pageBreakBefore w:val="0"/>
              <w:widowControl w:val="0"/>
              <w:kinsoku/>
              <w:wordWrap/>
              <w:overflowPunct/>
              <w:topLinePunct w:val="0"/>
              <w:autoSpaceDE/>
              <w:autoSpaceDN/>
              <w:bidi w:val="0"/>
              <w:adjustRightInd/>
              <w:snapToGrid/>
              <w:spacing w:line="400" w:lineRule="exact"/>
              <w:ind w:firstLine="480"/>
              <w:textAlignment w:val="auto"/>
              <w:rPr>
                <w:rFonts w:eastAsia="方正仿宋_GBK" w:cs="Times New Roman"/>
              </w:rPr>
            </w:pPr>
            <w:r>
              <w:rPr>
                <w:rFonts w:eastAsia="楷体_GB2312" w:cs="Times New Roman"/>
                <w:sz w:val="24"/>
              </w:rPr>
              <w:t>大飞机。</w:t>
            </w:r>
            <w:r>
              <w:rPr>
                <w:rFonts w:cs="Times New Roman"/>
                <w:sz w:val="24"/>
                <w:shd w:val="clear" w:color="auto" w:fill="FFFFFF"/>
              </w:rPr>
              <w:t>引进大飞机材料、装备、关键部附件项目，在机身大部段结构件、航空发动机、特色机载系统等领域加大项目招引力度，推动取证产品进入大飞机批产供应链目录。依托南通新机场规划建设，培育发展航司配套大飞机改装及维保等新兴环节。</w:t>
            </w:r>
          </w:p>
        </w:tc>
      </w:tr>
    </w:tbl>
    <w:p w14:paraId="4B3DA428">
      <w:pPr>
        <w:pStyle w:val="3"/>
        <w:rPr>
          <w:rFonts w:ascii="Times New Roman" w:hAnsi="Times New Roman" w:eastAsia="楷体_GB2312" w:cs="Times New Roman"/>
        </w:rPr>
      </w:pPr>
      <w:bookmarkStart w:id="158" w:name="_Toc11235"/>
      <w:bookmarkStart w:id="159" w:name="_Toc22334"/>
      <w:bookmarkStart w:id="160" w:name="_Toc18621"/>
      <w:bookmarkStart w:id="161" w:name="_Toc5332"/>
      <w:bookmarkStart w:id="162" w:name="_Toc2953"/>
      <w:bookmarkStart w:id="163" w:name="_Toc18074"/>
      <w:bookmarkStart w:id="164" w:name="_Toc25273"/>
      <w:bookmarkStart w:id="165" w:name="_Toc16028"/>
      <w:bookmarkStart w:id="166" w:name="_Toc11334"/>
      <w:bookmarkStart w:id="167" w:name="_Toc28169"/>
      <w:bookmarkStart w:id="168" w:name="_Toc22883"/>
      <w:bookmarkStart w:id="169" w:name="_Toc28673"/>
      <w:bookmarkStart w:id="170" w:name="_Toc15863"/>
      <w:bookmarkStart w:id="171" w:name="_Toc23684"/>
      <w:r>
        <w:rPr>
          <w:rFonts w:ascii="Times New Roman" w:hAnsi="Times New Roman" w:cs="Times New Roman"/>
        </w:rPr>
        <w:t xml:space="preserve">第二节  </w:t>
      </w:r>
      <w:bookmarkEnd w:id="158"/>
      <w:bookmarkEnd w:id="159"/>
      <w:bookmarkEnd w:id="160"/>
      <w:bookmarkEnd w:id="161"/>
      <w:bookmarkEnd w:id="162"/>
      <w:bookmarkEnd w:id="163"/>
      <w:bookmarkEnd w:id="164"/>
      <w:bookmarkEnd w:id="165"/>
      <w:r>
        <w:rPr>
          <w:rFonts w:ascii="Times New Roman" w:hAnsi="Times New Roman" w:cs="Times New Roman"/>
        </w:rPr>
        <w:t>强化生产性服务业融合赋能</w:t>
      </w:r>
      <w:bookmarkEnd w:id="166"/>
      <w:bookmarkEnd w:id="167"/>
      <w:bookmarkEnd w:id="168"/>
      <w:bookmarkEnd w:id="169"/>
      <w:bookmarkEnd w:id="170"/>
      <w:bookmarkEnd w:id="171"/>
    </w:p>
    <w:p w14:paraId="16CF6841">
      <w:pPr>
        <w:rPr>
          <w:rFonts w:cs="Times New Roman"/>
          <w:szCs w:val="32"/>
        </w:rPr>
      </w:pPr>
      <w:bookmarkStart w:id="172" w:name="_Toc7802"/>
      <w:r>
        <w:rPr>
          <w:rFonts w:hint="eastAsia" w:ascii="楷体_GB2312" w:eastAsia="楷体_GB2312" w:cs="Times New Roman"/>
        </w:rPr>
        <w:t>推动生产性服务业向专业化和价值链高端攀升</w:t>
      </w:r>
      <w:r>
        <w:rPr>
          <w:rFonts w:cs="Times New Roman"/>
          <w:szCs w:val="32"/>
        </w:rPr>
        <w:t>。</w:t>
      </w:r>
      <w:r>
        <w:rPr>
          <w:rFonts w:hint="eastAsia" w:cs="Times New Roman"/>
        </w:rPr>
        <w:t>围绕</w:t>
      </w:r>
      <w:r>
        <w:rPr>
          <w:rFonts w:cs="Times New Roman"/>
        </w:rPr>
        <w:t>制造业转型升级需求，</w:t>
      </w:r>
      <w:r>
        <w:rPr>
          <w:rFonts w:cs="Times New Roman"/>
          <w:szCs w:val="32"/>
        </w:rPr>
        <w:t>大力发展科技服务、信息服务、商务服务、现代物流等生产性服务业，加大研发设计、标准制定、物流和供应链管理、检验检测、人力资源、市场营销、口岸服务、跨境电商、法律服务、会计服务、安保服务等领域服务业项目招引力度，提升专业化服务供给能力。支持生产性服务业内部行业跨界融合、深度渗透，催生新兴服务业态。积极培育绿色低碳服务、数据服务、低空服务等潜力型生产性服务业。加强平台企业和品牌培育，</w:t>
      </w:r>
      <w:r>
        <w:rPr>
          <w:rFonts w:hint="eastAsia" w:cs="Times New Roman"/>
          <w:szCs w:val="32"/>
          <w:highlight w:val="none"/>
          <w:lang w:eastAsia="zh-CN"/>
        </w:rPr>
        <w:t>搭建</w:t>
      </w:r>
      <w:r>
        <w:rPr>
          <w:rFonts w:cs="Times New Roman"/>
          <w:szCs w:val="32"/>
        </w:rPr>
        <w:t>研发设计、知识产权、专业技术、展示交易等公共服务平台。</w:t>
      </w:r>
    </w:p>
    <w:tbl>
      <w:tblPr>
        <w:tblStyle w:val="19"/>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60"/>
      </w:tblGrid>
      <w:tr w14:paraId="7E0785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5" w:hRule="atLeast"/>
        </w:trPr>
        <w:tc>
          <w:tcPr>
            <w:tcW w:w="5000" w:type="pct"/>
          </w:tcPr>
          <w:p w14:paraId="2DDF314C">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eastAsia="黑体" w:cs="Times New Roman"/>
                <w:sz w:val="24"/>
                <w:szCs w:val="21"/>
              </w:rPr>
            </w:pPr>
            <w:r>
              <w:rPr>
                <w:rFonts w:eastAsia="黑体" w:cs="Times New Roman"/>
                <w:sz w:val="24"/>
                <w:szCs w:val="21"/>
              </w:rPr>
              <w:t>专栏2  生产性服务业发展重点方向</w:t>
            </w:r>
          </w:p>
          <w:p w14:paraId="6673067A">
            <w:pPr>
              <w:keepNext w:val="0"/>
              <w:keepLines w:val="0"/>
              <w:pageBreakBefore w:val="0"/>
              <w:widowControl w:val="0"/>
              <w:kinsoku/>
              <w:wordWrap/>
              <w:overflowPunct/>
              <w:topLinePunct w:val="0"/>
              <w:autoSpaceDE/>
              <w:autoSpaceDN/>
              <w:bidi w:val="0"/>
              <w:adjustRightInd/>
              <w:snapToGrid/>
              <w:spacing w:line="400" w:lineRule="exact"/>
              <w:ind w:firstLine="480"/>
              <w:jc w:val="left"/>
              <w:textAlignment w:val="auto"/>
              <w:rPr>
                <w:rFonts w:eastAsia="方正仿宋_GBK" w:cs="Times New Roman"/>
                <w:sz w:val="24"/>
              </w:rPr>
            </w:pPr>
            <w:r>
              <w:rPr>
                <w:rFonts w:eastAsia="楷体_GB2312" w:cs="Times New Roman"/>
                <w:sz w:val="24"/>
              </w:rPr>
              <w:t>科技服务。</w:t>
            </w:r>
            <w:r>
              <w:rPr>
                <w:rFonts w:cs="Times New Roman"/>
                <w:sz w:val="24"/>
              </w:rPr>
              <w:t>聚焦海门生物医药科技创业园、謇公湖科创中心、省船舶与海工创新中心等载体平台，围绕科技研发、检验检测等业态，构建覆盖生物医药、新一代信息技术和高技术船舶等核心产业的科学研究和技术服务体系。重点发展基于用户需求的定制化研发，做强新药评价、农药检测、基因检测、食品检测、高端装备检测、晶圆良率测试细分赛道。</w:t>
            </w:r>
          </w:p>
          <w:p w14:paraId="65CC564D">
            <w:pPr>
              <w:keepNext w:val="0"/>
              <w:keepLines w:val="0"/>
              <w:pageBreakBefore w:val="0"/>
              <w:widowControl w:val="0"/>
              <w:kinsoku/>
              <w:wordWrap/>
              <w:overflowPunct/>
              <w:topLinePunct w:val="0"/>
              <w:autoSpaceDE/>
              <w:autoSpaceDN/>
              <w:bidi w:val="0"/>
              <w:adjustRightInd/>
              <w:snapToGrid/>
              <w:spacing w:line="400" w:lineRule="exact"/>
              <w:ind w:firstLine="480"/>
              <w:jc w:val="left"/>
              <w:textAlignment w:val="auto"/>
              <w:rPr>
                <w:rFonts w:eastAsia="方正仿宋_GBK" w:cs="Times New Roman"/>
                <w:sz w:val="24"/>
              </w:rPr>
            </w:pPr>
            <w:r>
              <w:rPr>
                <w:rFonts w:eastAsia="楷体_GB2312" w:cs="Times New Roman"/>
                <w:sz w:val="24"/>
              </w:rPr>
              <w:t>信息服务。</w:t>
            </w:r>
            <w:r>
              <w:rPr>
                <w:rFonts w:cs="Times New Roman"/>
                <w:sz w:val="24"/>
              </w:rPr>
              <w:t>聚焦未来智谷、集微产业创新基地等载体平台，围绕软件开发、大数据和工业互联网、系统集成等业态，全面提升数字服务能力。引进一批“智改数转”服务企业，培育一批高端装备领域集成服务商。</w:t>
            </w:r>
          </w:p>
          <w:p w14:paraId="6B17BBF6">
            <w:pPr>
              <w:keepNext w:val="0"/>
              <w:keepLines w:val="0"/>
              <w:pageBreakBefore w:val="0"/>
              <w:widowControl w:val="0"/>
              <w:kinsoku/>
              <w:wordWrap/>
              <w:overflowPunct/>
              <w:topLinePunct w:val="0"/>
              <w:autoSpaceDE/>
              <w:autoSpaceDN/>
              <w:bidi w:val="0"/>
              <w:adjustRightInd/>
              <w:snapToGrid/>
              <w:spacing w:line="400" w:lineRule="exact"/>
              <w:ind w:firstLine="480"/>
              <w:jc w:val="left"/>
              <w:textAlignment w:val="auto"/>
              <w:rPr>
                <w:rFonts w:cs="Times New Roman"/>
                <w:sz w:val="24"/>
              </w:rPr>
            </w:pPr>
            <w:r>
              <w:rPr>
                <w:rFonts w:eastAsia="楷体_GB2312" w:cs="Times New Roman"/>
                <w:sz w:val="24"/>
              </w:rPr>
              <w:t>商务服务。</w:t>
            </w:r>
            <w:r>
              <w:rPr>
                <w:rFonts w:cs="Times New Roman"/>
                <w:sz w:val="24"/>
              </w:rPr>
              <w:t>聚焦叠石桥电商产业园、华东总部大厦、鸿謇广场等载体平台，加快提升电子商务、法律服务、金融服务、人力资源等功能配套型产业。围绕家纺、红木、体育用品等本地特色产业，大力发展直播电商、跨境电商等新业态。以楼宇为单元，加速集聚人力资源公司、律师事务所、会计师事务所等机构，打造商务服务聚集区。</w:t>
            </w:r>
          </w:p>
          <w:p w14:paraId="0892AD1A">
            <w:pPr>
              <w:keepNext w:val="0"/>
              <w:keepLines w:val="0"/>
              <w:pageBreakBefore w:val="0"/>
              <w:widowControl w:val="0"/>
              <w:kinsoku/>
              <w:wordWrap/>
              <w:overflowPunct/>
              <w:topLinePunct w:val="0"/>
              <w:autoSpaceDE/>
              <w:autoSpaceDN/>
              <w:bidi w:val="0"/>
              <w:adjustRightInd/>
              <w:snapToGrid/>
              <w:spacing w:line="400" w:lineRule="exact"/>
              <w:ind w:firstLine="480"/>
              <w:jc w:val="left"/>
              <w:textAlignment w:val="auto"/>
              <w:rPr>
                <w:rFonts w:cs="Times New Roman"/>
                <w:sz w:val="24"/>
              </w:rPr>
            </w:pPr>
            <w:r>
              <w:rPr>
                <w:rFonts w:eastAsia="楷体_GB2312" w:cs="Times New Roman"/>
                <w:sz w:val="24"/>
              </w:rPr>
              <w:t>现代物流。</w:t>
            </w:r>
            <w:r>
              <w:rPr>
                <w:rFonts w:cs="Times New Roman"/>
                <w:sz w:val="24"/>
              </w:rPr>
              <w:t>依托南通商贸服务型、港口型两大国家物流枢纽，加快打造以多式联运为支撑的现代物流体系。重点依托高端装备、海工船舶等产业发展集装箱物流；依托精品钢、新材料、大宗物贸等产业发展港口物流；依托家纺产业提质发展公路物流。</w:t>
            </w:r>
          </w:p>
        </w:tc>
      </w:tr>
    </w:tbl>
    <w:p w14:paraId="018A1B4E">
      <w:pPr>
        <w:keepNext w:val="0"/>
        <w:keepLines w:val="0"/>
        <w:pageBreakBefore w:val="0"/>
        <w:widowControl w:val="0"/>
        <w:kinsoku/>
        <w:wordWrap/>
        <w:overflowPunct/>
        <w:topLinePunct w:val="0"/>
        <w:autoSpaceDE/>
        <w:autoSpaceDN/>
        <w:bidi w:val="0"/>
        <w:adjustRightInd/>
        <w:snapToGrid/>
        <w:spacing w:line="240" w:lineRule="exact"/>
        <w:textAlignment w:val="auto"/>
        <w:rPr>
          <w:rFonts w:cs="Times New Roman"/>
        </w:rPr>
      </w:pPr>
    </w:p>
    <w:p w14:paraId="2A461F55">
      <w:pPr>
        <w:pStyle w:val="30"/>
        <w:overflowPunct w:val="0"/>
        <w:autoSpaceDN w:val="0"/>
        <w:ind w:firstLine="640"/>
        <w:textAlignment w:val="center"/>
        <w:rPr>
          <w:rFonts w:cs="Times New Roman"/>
          <w:szCs w:val="32"/>
        </w:rPr>
      </w:pPr>
      <w:r>
        <w:rPr>
          <w:rFonts w:hint="eastAsia" w:ascii="楷体_GB2312" w:hAnsi="Times New Roman" w:eastAsia="楷体_GB2312" w:cs="Times New Roman"/>
          <w:kern w:val="2"/>
          <w:sz w:val="32"/>
          <w:szCs w:val="24"/>
          <w:lang w:val="en-US" w:eastAsia="zh-CN" w:bidi="ar-SA"/>
        </w:rPr>
        <w:t>促进生产性服务业和先进制造业深度融合发展。</w:t>
      </w:r>
      <w:r>
        <w:rPr>
          <w:rFonts w:cs="Times New Roman"/>
          <w:szCs w:val="32"/>
        </w:rPr>
        <w:t>优化船舶海工、</w:t>
      </w:r>
      <w:r>
        <w:rPr>
          <w:rFonts w:hint="eastAsia" w:cs="Times New Roman"/>
          <w:szCs w:val="32"/>
        </w:rPr>
        <w:t>新材料</w:t>
      </w:r>
      <w:r>
        <w:rPr>
          <w:rFonts w:cs="Times New Roman"/>
          <w:szCs w:val="32"/>
        </w:rPr>
        <w:t>、高端纺织、生命健康、新一代信息技术等制造业与服务业融合发展路径，鼓励发展智能仓储、产销集成、运营检测管理等工业服务，加快共享制造、个性化定制、全生命周期管理、总集成总承包、供应链管理、远程运维、产品服务集成等传统模式升级，探索模型驱动研发等服务型制造新模式。引导行业骨干企业构建“硬件+软件+服务”的产业发展模式，发展专业化服务，提供系统解决方案。支持制造业龙头企业剥离软信服务、工业设计、检验检测等生产性服务业属性，成立服务业企业。支持服务业企业提升一体化供应链、定制化服务等供给能力。培育一批服务型制造转型方案提供商，增强服务型制造咨询诊断、成熟度评价、供需对接、人才匹配、知识产权等服务供给能力。</w:t>
      </w:r>
    </w:p>
    <w:p w14:paraId="5F2CC8DC">
      <w:pPr>
        <w:pStyle w:val="3"/>
        <w:rPr>
          <w:rFonts w:ascii="Times New Roman" w:hAnsi="Times New Roman" w:eastAsia="楷体_GB2312" w:cs="Times New Roman"/>
        </w:rPr>
      </w:pPr>
      <w:bookmarkStart w:id="173" w:name="_Toc18958"/>
      <w:bookmarkStart w:id="174" w:name="_Toc9985"/>
      <w:bookmarkStart w:id="175" w:name="_Toc13125"/>
      <w:bookmarkStart w:id="176" w:name="_Toc8341"/>
      <w:bookmarkStart w:id="177" w:name="_Toc17124"/>
      <w:bookmarkStart w:id="178" w:name="_Toc16878"/>
      <w:bookmarkStart w:id="179" w:name="_Toc21891"/>
      <w:bookmarkStart w:id="180" w:name="_Toc14134"/>
      <w:bookmarkStart w:id="181" w:name="_Toc12748"/>
      <w:bookmarkStart w:id="182" w:name="_Toc28233"/>
      <w:bookmarkStart w:id="183" w:name="_Toc31850"/>
      <w:bookmarkStart w:id="184" w:name="_Toc32500"/>
      <w:bookmarkStart w:id="185" w:name="_Toc14458"/>
      <w:r>
        <w:rPr>
          <w:rFonts w:ascii="Times New Roman" w:hAnsi="Times New Roman" w:cs="Times New Roman"/>
        </w:rPr>
        <w:t>第三节  推动“海门建筑”转型发展</w:t>
      </w:r>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p>
    <w:p w14:paraId="5422821D">
      <w:pPr>
        <w:rPr>
          <w:rFonts w:cs="Times New Roman"/>
        </w:rPr>
      </w:pPr>
      <w:r>
        <w:rPr>
          <w:rFonts w:hint="eastAsia" w:ascii="楷体_GB2312" w:hAnsi="Times New Roman" w:eastAsia="楷体_GB2312" w:cs="Times New Roman"/>
          <w:kern w:val="2"/>
          <w:sz w:val="32"/>
          <w:szCs w:val="24"/>
          <w:lang w:val="en-US" w:eastAsia="zh-CN" w:bidi="ar-SA"/>
        </w:rPr>
        <w:t>优化建筑业产业结构</w:t>
      </w:r>
      <w:r>
        <w:rPr>
          <w:rFonts w:eastAsia="楷体_GB2312" w:cs="Times New Roman"/>
        </w:rPr>
        <w:t>。</w:t>
      </w:r>
      <w:r>
        <w:rPr>
          <w:rFonts w:cs="Times New Roman"/>
        </w:rPr>
        <w:t>顺应城市高质量发展要求，鼓励建筑业企业上下游全产业链协同发展，提升“研发设计+工程服务+信息服务”一体化服务能力，支持综合实力强的企业向投融资、开发、建设和运营一体化综合服务商转型。引导建筑业企业向基础设施、城市更新、新兴产业等领域开拓市场，鼓励参与桥梁隧道、综合管廊、港口航道等重大基础设施建设，开拓5G基站、新能源汽车充电桩等新型基础设施业务，积极探索为低空经济、银发经济等提供配套建筑解决方案。大力开发应用智能建造、装配式建筑、绿色建筑等新技术新产品。到2030年，建筑业高附加值产值占比达15%以上。</w:t>
      </w:r>
    </w:p>
    <w:p w14:paraId="4AE68121">
      <w:pPr>
        <w:rPr>
          <w:rFonts w:eastAsia="方正仿宋_GBK" w:cs="Times New Roman"/>
        </w:rPr>
      </w:pPr>
      <w:r>
        <w:rPr>
          <w:rFonts w:hint="eastAsia" w:ascii="楷体_GB2312" w:hAnsi="Times New Roman" w:eastAsia="楷体_GB2312" w:cs="Times New Roman"/>
          <w:kern w:val="2"/>
          <w:sz w:val="32"/>
          <w:szCs w:val="24"/>
          <w:lang w:val="en-US" w:eastAsia="zh-CN" w:bidi="ar-SA"/>
        </w:rPr>
        <w:t>支持企业做优做强。</w:t>
      </w:r>
      <w:r>
        <w:rPr>
          <w:rFonts w:cs="Times New Roman"/>
        </w:rPr>
        <w:t>支持企业晋升资质、开拓市场、健全制度，建立区重点建筑企业动态培育库、资质培育库、规上企业培育库，“一企一策”精准推动建筑企业转型升级。支持国有企业通过合作、收购、重组，组建高资质建筑企业集团，打造成为区级建筑产业发展平台。引进具有一级以上资质的央企全资或控股企业，培育新的增长动力和比较竞争优势。弘扬工匠精神，引导企业开展技术创新和工程创优。支持企业通过司法途径、引入战投等方式债务重组，切实化解企业和行业风险。到2030年，新增建筑业特级资质企业1</w:t>
      </w:r>
      <w:r>
        <w:rPr>
          <w:rFonts w:hint="eastAsia" w:cs="Times New Roman"/>
          <w:lang w:eastAsia="zh-CN"/>
        </w:rPr>
        <w:t>—</w:t>
      </w:r>
      <w:r>
        <w:rPr>
          <w:rFonts w:cs="Times New Roman"/>
        </w:rPr>
        <w:t>2家、一级资质企业10家，争创“鲁班奖”等国家级奖项10项以上。</w:t>
      </w:r>
    </w:p>
    <w:p w14:paraId="07F4ACBA">
      <w:pPr>
        <w:rPr>
          <w:rFonts w:cs="Times New Roman"/>
        </w:rPr>
      </w:pPr>
      <w:r>
        <w:rPr>
          <w:rFonts w:hint="eastAsia" w:ascii="楷体_GB2312" w:hAnsi="Times New Roman" w:eastAsia="楷体_GB2312" w:cs="Times New Roman"/>
          <w:kern w:val="2"/>
          <w:sz w:val="32"/>
          <w:szCs w:val="24"/>
          <w:lang w:val="en-US" w:eastAsia="zh-CN" w:bidi="ar-SA"/>
        </w:rPr>
        <w:t>鼓励企业开拓市场</w:t>
      </w:r>
      <w:r>
        <w:rPr>
          <w:rFonts w:eastAsia="楷体_GB2312" w:cs="Times New Roman"/>
        </w:rPr>
        <w:t>。</w:t>
      </w:r>
      <w:r>
        <w:rPr>
          <w:rFonts w:cs="Times New Roman"/>
        </w:rPr>
        <w:t>鼓励企业紧跟京津冀、大湾区、长三角等重点区域积极开拓市场。跟踪海外市场特别是东南亚、南亚、中东、非洲等基础设施需求旺盛的地区，推动更多海门建筑企业纳入商务部援外企业名单，承接国家重大援建和海外重点投资项目，在基础设施、节能环保、数字经济等领域持续壮大海门工程承包竞争力。鼓励龙头企业探索境外承包工程项目“投建营一体化”，形成技术、资金、管理、劳动力和品牌联动输出。推动企业与大型央企组建联合体，鼓励采取股份、项目、劳务等方式开展业务合作，拓展国内外市场。</w:t>
      </w:r>
    </w:p>
    <w:p w14:paraId="509317F6">
      <w:pPr>
        <w:pStyle w:val="3"/>
        <w:rPr>
          <w:rFonts w:ascii="Times New Roman" w:hAnsi="Times New Roman" w:cs="Times New Roman"/>
        </w:rPr>
      </w:pPr>
      <w:bookmarkStart w:id="186" w:name="_Toc30537"/>
      <w:bookmarkStart w:id="187" w:name="_Toc10975"/>
      <w:bookmarkStart w:id="188" w:name="_Toc19314"/>
      <w:bookmarkStart w:id="189" w:name="_Toc25672"/>
      <w:bookmarkStart w:id="190" w:name="_Toc16708"/>
      <w:bookmarkStart w:id="191" w:name="_Toc17808"/>
      <w:bookmarkStart w:id="192" w:name="_Toc28684"/>
      <w:bookmarkStart w:id="193" w:name="_Toc16325"/>
      <w:bookmarkStart w:id="194" w:name="_Toc9929"/>
      <w:bookmarkStart w:id="195" w:name="_Toc9607"/>
      <w:bookmarkStart w:id="196" w:name="_Toc16324"/>
      <w:bookmarkStart w:id="197" w:name="_Toc4463"/>
      <w:bookmarkStart w:id="198" w:name="_Toc4305"/>
      <w:bookmarkStart w:id="199" w:name="_Toc22651"/>
      <w:r>
        <w:rPr>
          <w:rFonts w:ascii="Times New Roman" w:hAnsi="Times New Roman" w:cs="Times New Roman"/>
        </w:rPr>
        <w:t>第四节  强化平台载体关键主阵地功能</w:t>
      </w:r>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p>
    <w:p w14:paraId="360B21A4">
      <w:pPr>
        <w:rPr>
          <w:rFonts w:cs="Times New Roman"/>
        </w:rPr>
      </w:pPr>
      <w:r>
        <w:rPr>
          <w:rFonts w:hint="eastAsia" w:ascii="楷体_GB2312" w:hAnsi="Times New Roman" w:eastAsia="楷体_GB2312" w:cs="Times New Roman"/>
          <w:kern w:val="2"/>
          <w:sz w:val="32"/>
          <w:szCs w:val="24"/>
          <w:lang w:val="en-US" w:eastAsia="zh-CN" w:bidi="ar-SA"/>
        </w:rPr>
        <w:t>提升开发区产业发展能级</w:t>
      </w:r>
      <w:r>
        <w:rPr>
          <w:rFonts w:eastAsia="楷体_GB2312" w:cs="Times New Roman"/>
        </w:rPr>
        <w:t>。</w:t>
      </w:r>
      <w:r>
        <w:rPr>
          <w:rFonts w:cs="Times New Roman"/>
        </w:rPr>
        <w:t>推动海门开发区、海门港经开区以开放创新、亩均效益、减污降碳为导向，加快转型升级步伐、培植壮大优势产业、增强产业发展质效，打造全区经济发展主战场、招商引资主力军、改革开放主阵地。支持海门开发区锚定“对标大开发</w:t>
      </w:r>
      <w:r>
        <w:rPr>
          <w:rFonts w:hint="eastAsia" w:cs="Times New Roman"/>
        </w:rPr>
        <w:t>，</w:t>
      </w:r>
      <w:r>
        <w:rPr>
          <w:rFonts w:cs="Times New Roman"/>
        </w:rPr>
        <w:t>提升贡献度”目标，重点发展船舶海工优势产业和新一代信息技术潜力产业，塑造“商贸+旅游+体育+短剧+电竞”服务业特色名片，强化物流、金融、科技服务等生产性服务业配套。支持海门港经开区围绕“再造一个工业海门”目标，塑造</w:t>
      </w:r>
      <w:r>
        <w:rPr>
          <w:rFonts w:hint="eastAsia" w:cs="Times New Roman"/>
        </w:rPr>
        <w:t>新</w:t>
      </w:r>
      <w:r>
        <w:rPr>
          <w:rFonts w:cs="Times New Roman"/>
        </w:rPr>
        <w:t>材料、风电装备两大优势，打造千亿级绿色精品钢基地。到2030年，海门开发区形成1个300亿级产业、海门港经开区形成1个1000亿级产业。</w:t>
      </w:r>
    </w:p>
    <w:tbl>
      <w:tblPr>
        <w:tblStyle w:val="2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60"/>
      </w:tblGrid>
      <w:tr w14:paraId="623ECC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60" w:type="dxa"/>
          </w:tcPr>
          <w:p w14:paraId="64167248">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cs="Times New Roman"/>
              </w:rPr>
            </w:pPr>
            <w:r>
              <w:rPr>
                <w:rFonts w:eastAsia="黑体" w:cs="Times New Roman"/>
                <w:sz w:val="24"/>
                <w:szCs w:val="21"/>
              </w:rPr>
              <w:t>专栏3  海门开发区、海门港经开区产业发展重点</w:t>
            </w:r>
          </w:p>
          <w:p w14:paraId="4C2B2EF7">
            <w:pPr>
              <w:keepNext w:val="0"/>
              <w:keepLines w:val="0"/>
              <w:pageBreakBefore w:val="0"/>
              <w:widowControl w:val="0"/>
              <w:kinsoku/>
              <w:wordWrap/>
              <w:overflowPunct/>
              <w:topLinePunct w:val="0"/>
              <w:autoSpaceDE/>
              <w:autoSpaceDN/>
              <w:bidi w:val="0"/>
              <w:adjustRightInd/>
              <w:snapToGrid/>
              <w:spacing w:line="400" w:lineRule="exact"/>
              <w:ind w:firstLine="480"/>
              <w:textAlignment w:val="auto"/>
              <w:rPr>
                <w:rFonts w:hint="default" w:ascii="Times New Roman" w:hAnsi="Times New Roman" w:eastAsia="仿宋_GB2312" w:cs="Times New Roman"/>
                <w:sz w:val="24"/>
                <w:szCs w:val="21"/>
              </w:rPr>
            </w:pPr>
            <w:r>
              <w:rPr>
                <w:rFonts w:eastAsia="楷体_GB2312" w:cs="Times New Roman"/>
                <w:sz w:val="24"/>
                <w:szCs w:val="21"/>
              </w:rPr>
              <w:t>海门开发区</w:t>
            </w:r>
            <w:r>
              <w:rPr>
                <w:rFonts w:cs="Times New Roman"/>
                <w:sz w:val="24"/>
                <w:szCs w:val="21"/>
              </w:rPr>
              <w:t>。</w:t>
            </w:r>
            <w:r>
              <w:rPr>
                <w:rFonts w:hint="default" w:ascii="Times New Roman" w:hAnsi="Times New Roman" w:eastAsia="仿宋_GB2312" w:cs="Times New Roman"/>
                <w:sz w:val="24"/>
                <w:szCs w:val="21"/>
              </w:rPr>
              <w:t>高技术船舶和海洋工程装备产业锚定“以总装强配套、以龙头带集群”路径，引进高端新型材料以及智能化、模块化内装产品，强化船级社、技术研发中心、检测中心、创新中心等服务配套。新一代信息技术产业聚焦光电显示、集成电路、算力服务三大特色板块，重点瞄准光芯片模组、半导体材料、设备、封装测试等细分赛道，加快优质项目产业化。智能装备产业着重发展智能成套装备、航空航天装备、关键基础部件等细分领域。加快培育新能源、新医疗、新材料三大新兴产业。积极布局低空经济、大飞机和具身机器人等新兴未来产业，加快建设海门大飞机配套产业园、具身机器人数采中心。大力发展电竞、文旅、数字文化产业，打造“商贸+旅游+体育+短剧+电竞”服务业特色名片。加快发展物流、金融、科技服务、信息服务等生产性服务业。</w:t>
            </w:r>
          </w:p>
          <w:p w14:paraId="2FB58868">
            <w:pPr>
              <w:keepNext w:val="0"/>
              <w:keepLines w:val="0"/>
              <w:pageBreakBefore w:val="0"/>
              <w:widowControl w:val="0"/>
              <w:kinsoku/>
              <w:wordWrap/>
              <w:overflowPunct/>
              <w:topLinePunct w:val="0"/>
              <w:autoSpaceDE/>
              <w:autoSpaceDN/>
              <w:bidi w:val="0"/>
              <w:adjustRightInd/>
              <w:snapToGrid/>
              <w:spacing w:line="400" w:lineRule="exact"/>
              <w:ind w:firstLine="480"/>
              <w:textAlignment w:val="auto"/>
              <w:rPr>
                <w:rFonts w:eastAsia="方正仿宋_GBK" w:cs="Times New Roman"/>
                <w:sz w:val="24"/>
                <w:szCs w:val="21"/>
              </w:rPr>
            </w:pPr>
            <w:r>
              <w:rPr>
                <w:rFonts w:eastAsia="楷体_GB2312" w:cs="Times New Roman"/>
                <w:sz w:val="24"/>
                <w:szCs w:val="21"/>
              </w:rPr>
              <w:t>海门港经开区。</w:t>
            </w:r>
            <w:r>
              <w:rPr>
                <w:rFonts w:cs="Times New Roman"/>
                <w:sz w:val="24"/>
                <w:szCs w:val="21"/>
              </w:rPr>
              <w:t>新材料产业以先进金属材料为引领，大力发展纺织新材料、氟材料等细分领域，打造千亿级绿色精品钢基地。新能源产业重点发展风电装备制造全产业链，积极培育氢能等新领域。装备制造产业聚焦智能检测装备、汽车零部件等领域塑造比较优势。以完善空铁水多式联运体系为支撑，大力发展港口物流。</w:t>
            </w:r>
          </w:p>
        </w:tc>
      </w:tr>
    </w:tbl>
    <w:p w14:paraId="1E4A92CD">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cs="Times New Roman"/>
        </w:rPr>
      </w:pPr>
      <w:bookmarkStart w:id="200" w:name="_Toc13279"/>
      <w:bookmarkStart w:id="201" w:name="_Toc29506"/>
      <w:bookmarkStart w:id="202" w:name="_Toc10259"/>
      <w:bookmarkStart w:id="203" w:name="_Toc16661"/>
      <w:bookmarkStart w:id="204" w:name="_Toc17093"/>
      <w:bookmarkStart w:id="205" w:name="_Toc32165"/>
      <w:bookmarkStart w:id="206" w:name="_Toc5296"/>
      <w:bookmarkStart w:id="207" w:name="_Toc479"/>
      <w:bookmarkStart w:id="208" w:name="_Toc6651"/>
      <w:bookmarkStart w:id="209" w:name="_Toc6322"/>
    </w:p>
    <w:p w14:paraId="2DEE7F3E">
      <w:pPr>
        <w:bidi w:val="0"/>
        <w:rPr>
          <w:rFonts w:hint="default" w:ascii="Times New Roman" w:hAnsi="Times New Roman" w:eastAsia="仿宋_GB2312" w:cs="Times New Roman"/>
        </w:rPr>
      </w:pPr>
      <w:r>
        <w:rPr>
          <w:rFonts w:hint="eastAsia" w:ascii="楷体_GB2312" w:hAnsi="Times New Roman" w:eastAsia="楷体_GB2312" w:cs="Times New Roman"/>
          <w:kern w:val="2"/>
          <w:sz w:val="32"/>
          <w:szCs w:val="24"/>
          <w:lang w:val="en-US" w:eastAsia="zh-CN" w:bidi="ar-SA"/>
        </w:rPr>
        <w:t>推动高新区新质转型。</w:t>
      </w:r>
      <w:r>
        <w:rPr>
          <w:rFonts w:hint="default" w:ascii="Times New Roman" w:hAnsi="Times New Roman" w:eastAsia="仿宋_GB2312" w:cs="Times New Roman"/>
        </w:rPr>
        <w:t>构建“临江片区</w:t>
      </w:r>
      <w:r>
        <w:rPr>
          <w:rFonts w:hint="eastAsia" w:cs="Times New Roman"/>
          <w:lang w:eastAsia="zh-CN"/>
        </w:rPr>
        <w:t>—</w:t>
      </w:r>
      <w:r>
        <w:rPr>
          <w:rFonts w:hint="default" w:ascii="Times New Roman" w:hAnsi="Times New Roman" w:eastAsia="仿宋_GB2312" w:cs="Times New Roman"/>
        </w:rPr>
        <w:t>三厂片区</w:t>
      </w:r>
      <w:r>
        <w:rPr>
          <w:rFonts w:hint="eastAsia" w:cs="Times New Roman"/>
          <w:lang w:eastAsia="zh-CN"/>
        </w:rPr>
        <w:t>—</w:t>
      </w:r>
      <w:r>
        <w:rPr>
          <w:rFonts w:hint="default" w:ascii="Times New Roman" w:hAnsi="Times New Roman" w:eastAsia="仿宋_GB2312" w:cs="Times New Roman"/>
        </w:rPr>
        <w:t>常乐片区”联动发展机制，重点发展生命健康、合成生物、特殊食品、新材料、动漫文化等优势产业，在创新浓度、产业高度、亩产强度、绿色低碳、开放协同等方面对标国家级高新区标准，全面提升海门高新区创新能级、产业竞争力和区域辐射力。推动海门高新区聚焦生命健康等优势产业，与具备相关优势专业的高校“双高协同”发展，深化研发与产业化合作。强化海门高新区对全区的科技服务支撑能力，推进药用辅料重点实验室转化、特殊食品产业化、创新中药转化等创新平台建设，全力促成与长三角国家技术创新中心战略合作，支持建设省级以上创新药研究所及公共服务平台。</w:t>
      </w:r>
    </w:p>
    <w:tbl>
      <w:tblPr>
        <w:tblStyle w:val="2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60"/>
      </w:tblGrid>
      <w:tr w14:paraId="717003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060" w:type="dxa"/>
          </w:tcPr>
          <w:p w14:paraId="31942CEA">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eastAsia="黑体" w:cs="Times New Roman"/>
                <w:sz w:val="24"/>
                <w:szCs w:val="21"/>
              </w:rPr>
            </w:pPr>
            <w:r>
              <w:rPr>
                <w:rFonts w:eastAsia="黑体" w:cs="Times New Roman"/>
                <w:sz w:val="24"/>
                <w:szCs w:val="21"/>
              </w:rPr>
              <w:t>专栏4  海门高新区产业发展重点</w:t>
            </w:r>
          </w:p>
          <w:p w14:paraId="1C8BDA1D">
            <w:pPr>
              <w:keepNext w:val="0"/>
              <w:keepLines w:val="0"/>
              <w:pageBreakBefore w:val="0"/>
              <w:widowControl w:val="0"/>
              <w:kinsoku/>
              <w:wordWrap/>
              <w:overflowPunct/>
              <w:topLinePunct w:val="0"/>
              <w:autoSpaceDE/>
              <w:autoSpaceDN/>
              <w:bidi w:val="0"/>
              <w:adjustRightInd/>
              <w:snapToGrid/>
              <w:spacing w:line="400" w:lineRule="exact"/>
              <w:ind w:firstLine="480"/>
              <w:textAlignment w:val="auto"/>
              <w:rPr>
                <w:rFonts w:cs="Times New Roman"/>
                <w:sz w:val="24"/>
              </w:rPr>
            </w:pPr>
            <w:r>
              <w:rPr>
                <w:rFonts w:cs="Times New Roman"/>
                <w:sz w:val="24"/>
              </w:rPr>
              <w:t>支持临江片区巩固生命健康产业优势，推动医药制造与医药研发服务协同发展，支持培育新一代信息技术与新材料产业，提升检验检测、知识产权服务等科技服务水平。积极培育动漫等文化创意产业。</w:t>
            </w:r>
          </w:p>
          <w:p w14:paraId="3C3B3A7D">
            <w:pPr>
              <w:keepNext w:val="0"/>
              <w:keepLines w:val="0"/>
              <w:pageBreakBefore w:val="0"/>
              <w:widowControl w:val="0"/>
              <w:kinsoku/>
              <w:wordWrap/>
              <w:overflowPunct/>
              <w:topLinePunct w:val="0"/>
              <w:autoSpaceDE/>
              <w:autoSpaceDN/>
              <w:bidi w:val="0"/>
              <w:adjustRightInd/>
              <w:snapToGrid/>
              <w:spacing w:line="400" w:lineRule="exact"/>
              <w:ind w:firstLine="480"/>
              <w:textAlignment w:val="auto"/>
              <w:rPr>
                <w:rFonts w:cs="Times New Roman"/>
                <w:sz w:val="24"/>
              </w:rPr>
            </w:pPr>
            <w:r>
              <w:rPr>
                <w:rFonts w:cs="Times New Roman"/>
                <w:sz w:val="24"/>
              </w:rPr>
              <w:t>支持三厂片区大力发展生命健康、新材料两大优势产业，积极发展新能源材料、先进钢材料、电子新材料、创新医药材料、高端纺织面料等新材料细分领域，将青龙港片区建设成为重要的生命健康产业创新平台、生物医药研发制造服务中心。</w:t>
            </w:r>
          </w:p>
          <w:p w14:paraId="473FB0D7">
            <w:pPr>
              <w:keepNext w:val="0"/>
              <w:keepLines w:val="0"/>
              <w:pageBreakBefore w:val="0"/>
              <w:widowControl w:val="0"/>
              <w:kinsoku/>
              <w:wordWrap/>
              <w:overflowPunct/>
              <w:topLinePunct w:val="0"/>
              <w:autoSpaceDE/>
              <w:autoSpaceDN/>
              <w:bidi w:val="0"/>
              <w:adjustRightInd/>
              <w:snapToGrid/>
              <w:spacing w:line="400" w:lineRule="exact"/>
              <w:ind w:firstLine="480"/>
              <w:textAlignment w:val="auto"/>
              <w:rPr>
                <w:rFonts w:cs="Times New Roman"/>
              </w:rPr>
            </w:pPr>
            <w:r>
              <w:rPr>
                <w:rFonts w:cs="Times New Roman"/>
                <w:sz w:val="24"/>
              </w:rPr>
              <w:t>支持常乐片区大力发展智能装备制造等主导产业，积极布局生命健康、新能源、新材料等战略性新兴产业。</w:t>
            </w:r>
          </w:p>
        </w:tc>
      </w:tr>
    </w:tbl>
    <w:p w14:paraId="713E1020">
      <w:pPr>
        <w:keepNext w:val="0"/>
        <w:keepLines w:val="0"/>
        <w:pageBreakBefore w:val="0"/>
        <w:widowControl w:val="0"/>
        <w:kinsoku/>
        <w:wordWrap/>
        <w:overflowPunct/>
        <w:topLinePunct w:val="0"/>
        <w:autoSpaceDE/>
        <w:autoSpaceDN/>
        <w:bidi w:val="0"/>
        <w:adjustRightInd/>
        <w:snapToGrid/>
        <w:spacing w:line="240" w:lineRule="exact"/>
        <w:textAlignment w:val="auto"/>
        <w:rPr>
          <w:rFonts w:cs="Times New Roman"/>
        </w:rPr>
      </w:pPr>
    </w:p>
    <w:p w14:paraId="74FD99E0">
      <w:pPr>
        <w:bidi w:val="0"/>
      </w:pPr>
      <w:r>
        <w:rPr>
          <w:rFonts w:hint="eastAsia" w:ascii="楷体_GB2312" w:hAnsi="Times New Roman" w:eastAsia="楷体_GB2312" w:cs="Times New Roman"/>
          <w:kern w:val="2"/>
          <w:sz w:val="32"/>
          <w:szCs w:val="24"/>
          <w:lang w:val="en-US" w:eastAsia="zh-CN" w:bidi="ar-SA"/>
        </w:rPr>
        <w:t>提升特色园区产业承载能力</w:t>
      </w:r>
      <w:r>
        <w:t>。全力打造高质量特色“区中园”，持续推进半导体产业园、船舶与海工装备产业园、航空航天新材料产业园等园区转型升级，加快推进大飞机配套产业园等专业园区建设，强化园区招商队伍、专项政策、标准厂房、创新平台等配备。引导东布洲科学城、謇公湖科教城等产业载体向特色化专业园区转型发展，按照“一载体一产业”原则，提升产业投资、运营、招商能力，实现“开发、建设、运营”全周期闭环服务。推进产业园区更新改造，植入文化创意、科技研发、“互联网+”等新业态，支持探索“工业上楼”、立体仓储建设等方式，加强乡镇闲置低效厂房、仓库等更新改造。推动城区周边、沿江、沿海等重点区域产业空间优化，加强产业载体、标准厂房等规划布局，前瞻性开展工业用地储备和商务商贸等服务配套。</w:t>
      </w:r>
    </w:p>
    <w:p w14:paraId="40052920">
      <w:pPr>
        <w:pStyle w:val="3"/>
        <w:rPr>
          <w:rFonts w:ascii="Times New Roman" w:hAnsi="Times New Roman" w:eastAsia="楷体_GB2312" w:cs="Times New Roman"/>
        </w:rPr>
      </w:pPr>
      <w:bookmarkStart w:id="210" w:name="_Toc27178"/>
      <w:bookmarkStart w:id="211" w:name="_Toc7938"/>
      <w:bookmarkStart w:id="212" w:name="_Toc23264"/>
      <w:bookmarkStart w:id="213" w:name="_Toc27599"/>
      <w:r>
        <w:rPr>
          <w:rFonts w:ascii="Times New Roman" w:hAnsi="Times New Roman" w:cs="Times New Roman"/>
        </w:rPr>
        <w:t>第五节  优化产业发展</w:t>
      </w:r>
      <w:bookmarkEnd w:id="200"/>
      <w:bookmarkEnd w:id="201"/>
      <w:bookmarkEnd w:id="202"/>
      <w:bookmarkEnd w:id="203"/>
      <w:bookmarkEnd w:id="204"/>
      <w:bookmarkEnd w:id="205"/>
      <w:bookmarkEnd w:id="206"/>
      <w:bookmarkEnd w:id="207"/>
      <w:r>
        <w:rPr>
          <w:rFonts w:ascii="Times New Roman" w:hAnsi="Times New Roman" w:cs="Times New Roman"/>
        </w:rPr>
        <w:t>路径</w:t>
      </w:r>
      <w:bookmarkEnd w:id="208"/>
      <w:bookmarkEnd w:id="209"/>
      <w:bookmarkEnd w:id="210"/>
      <w:bookmarkEnd w:id="211"/>
      <w:bookmarkEnd w:id="212"/>
      <w:bookmarkEnd w:id="213"/>
    </w:p>
    <w:p w14:paraId="2107891E">
      <w:pPr>
        <w:bidi w:val="0"/>
      </w:pPr>
      <w:r>
        <w:rPr>
          <w:rFonts w:hint="eastAsia" w:ascii="楷体_GB2312" w:hAnsi="Times New Roman" w:eastAsia="楷体_GB2312" w:cs="Times New Roman"/>
          <w:kern w:val="2"/>
          <w:sz w:val="32"/>
          <w:szCs w:val="24"/>
          <w:lang w:val="en-US" w:eastAsia="zh-CN" w:bidi="ar-SA"/>
        </w:rPr>
        <w:t>提升产业发展基础能力</w:t>
      </w:r>
      <w:r>
        <w:t>。推动传统产业焕新发展，实施淘汰落后、设备更新、绿色转型、融合创新、数智赋能、布局优化等焕新工程，引导传统产业企业聚焦细分赛道专精特新发展、开展老旧设备更新升级和工艺流程优化改造，提高传统产业中的先进产能占比。鼓励企业聚焦基础零部件、基础元器件、基础材料等开展技术攻关和产业化应用，实施“三首两新”技术产品攻坚计划，推动更多产品纳入省“三首两新”产品目录，力争新增市级以上首台（套）重大装备及关键部件25个以上。完善产业培育“六个一”强链补链机制，加强产业行业信息、同行交流等服务供给，推动产业政策向普惠化和功能性转型。健全服务业、未来产业等统计监测体系。“十五五”期间，力争工业利润增长快于工业增加值增长，快于工业产值增长。</w:t>
      </w:r>
    </w:p>
    <w:p w14:paraId="39240B3B">
      <w:pPr>
        <w:rPr>
          <w:rFonts w:cs="Times New Roman"/>
        </w:rPr>
      </w:pPr>
      <w:r>
        <w:rPr>
          <w:rFonts w:hint="eastAsia" w:ascii="楷体_GB2312" w:hAnsi="Times New Roman" w:eastAsia="楷体_GB2312" w:cs="Times New Roman"/>
          <w:kern w:val="2"/>
          <w:sz w:val="32"/>
          <w:szCs w:val="24"/>
          <w:lang w:val="en-US" w:eastAsia="zh-CN" w:bidi="ar-SA"/>
        </w:rPr>
        <w:t>打造优势企业矩阵。</w:t>
      </w:r>
      <w:r>
        <w:rPr>
          <w:rFonts w:cs="Times New Roman"/>
        </w:rPr>
        <w:t>深入实施工业大企业培育工程，完善“1532”工业大企业（集团）培育库，推动龙头企业提升产业链整合力和创新带动力。完善促进专精特新中小企业发展壮大机制，引导企业聚焦细分市场专业化、特色化发展，培育一批制造业单项冠军企业和专精特新“小巨人”企业。加强服务业企业培优育强，打造一批高成长型的创新企业和紧缺型的专业服务企业，招引一批高能级的领军企业和总部企业、平台企业，争创一批省级现代服务业高质量发展示范单位（企业）。到2030年，培育超千亿元企业1家、超100亿元</w:t>
      </w:r>
      <w:r>
        <w:rPr>
          <w:rFonts w:hint="eastAsia" w:cs="Times New Roman"/>
          <w:highlight w:val="none"/>
          <w:lang w:eastAsia="zh-CN"/>
        </w:rPr>
        <w:t>企业</w:t>
      </w:r>
      <w:r>
        <w:rPr>
          <w:rFonts w:cs="Times New Roman"/>
        </w:rPr>
        <w:t>5家、超10亿元</w:t>
      </w:r>
      <w:r>
        <w:rPr>
          <w:rFonts w:hint="eastAsia" w:cs="Times New Roman"/>
          <w:highlight w:val="none"/>
          <w:lang w:eastAsia="zh-CN"/>
        </w:rPr>
        <w:t>企业</w:t>
      </w:r>
      <w:r>
        <w:rPr>
          <w:rFonts w:cs="Times New Roman"/>
        </w:rPr>
        <w:t>30家，营业额超亿元规上服务业企业20家，新增国家制造业单项冠军企业超5家、国家专精特新“小巨人”企业超30家、省级专精特新中小企业超150家。</w:t>
      </w:r>
    </w:p>
    <w:p w14:paraId="36CFAD47">
      <w:pPr>
        <w:keepNext w:val="0"/>
        <w:keepLines w:val="0"/>
        <w:pageBreakBefore w:val="0"/>
        <w:widowControl w:val="0"/>
        <w:kinsoku/>
        <w:wordWrap/>
        <w:overflowPunct/>
        <w:topLinePunct w:val="0"/>
        <w:autoSpaceDE/>
        <w:autoSpaceDN/>
        <w:bidi w:val="0"/>
        <w:adjustRightInd/>
        <w:snapToGrid/>
        <w:textAlignment w:val="auto"/>
      </w:pPr>
      <w:r>
        <w:rPr>
          <w:rFonts w:hint="eastAsia" w:ascii="楷体_GB2312" w:hAnsi="Times New Roman" w:eastAsia="楷体_GB2312" w:cs="Times New Roman"/>
          <w:kern w:val="2"/>
          <w:sz w:val="32"/>
          <w:szCs w:val="24"/>
          <w:lang w:val="en-US" w:eastAsia="zh-CN" w:bidi="ar-SA"/>
        </w:rPr>
        <w:t>强化金融服务实体经济效能。</w:t>
      </w:r>
      <w:r>
        <w:t>聚焦产业发展、绿色转型、中小微企业培育等重点领域，大力发展科技金融、绿色金融、普惠金融、养老金融、数字金融，深化产品和服务创新。结合海门主导产业特点，分行业完善覆盖研发、制造、交付、物流、维护等全流程的金融服务，持续提高制造业中长期贷款占比，增加信用贷款、首贷户投放，鼓励开发航运保险等新兴产品。落实中小微企业金融服务能力提升工程，拓展“苏易融”产品覆盖面，构建涵盖信贷、保险、理财的普惠金融体系。鼓励优质企业发行各类直接债务融资产品和上市融资，完善企业上市培育服务机制，鼓励已上市企业通过配股、增发股票、发行可转债等方式进一步做大做强。用好并购贷款政策，支持链主企业开展“延链”“补链”等并购投资。到2030年，存贷款总额突破7000亿元。</w:t>
      </w:r>
    </w:p>
    <w:p w14:paraId="58374446">
      <w:pPr>
        <w:keepNext w:val="0"/>
        <w:keepLines w:val="0"/>
        <w:pageBreakBefore w:val="0"/>
        <w:widowControl w:val="0"/>
        <w:kinsoku/>
        <w:wordWrap/>
        <w:overflowPunct/>
        <w:topLinePunct w:val="0"/>
        <w:autoSpaceDE/>
        <w:autoSpaceDN/>
        <w:bidi w:val="0"/>
        <w:adjustRightInd/>
        <w:snapToGrid/>
        <w:textAlignment w:val="auto"/>
      </w:pPr>
      <w:r>
        <w:rPr>
          <w:rFonts w:hint="eastAsia" w:ascii="楷体_GB2312" w:hAnsi="Times New Roman" w:eastAsia="楷体_GB2312" w:cs="Times New Roman"/>
          <w:kern w:val="2"/>
          <w:sz w:val="32"/>
          <w:szCs w:val="24"/>
          <w:lang w:val="en-US" w:eastAsia="zh-CN" w:bidi="ar-SA"/>
        </w:rPr>
        <w:t>加强质量标准品牌建设。</w:t>
      </w:r>
      <w:r>
        <w:t>推进国家质量强县培育建设，加强产业链质量管理，完善质量基础设施“一站式”服务，加强重点产业质量合作社建设，推进船舶海工质量认证服务强企强链强县融合国家级试点，深化家纺小微企业质量管理体系认证提升行动。构建质量强企梯度培育体系，推动规模以上企业首席质量官制度全覆盖。实施品牌培育计划，支持企业申报“江苏精品”“南通精品家纺”等荣誉，建立政企协作品牌维权联盟。探索构建技术、专利、标准联动创新体系，引导企业牵头和参与制定相关标准，培育一批服务业、未来产业领域标准创新型企业。到2030年，力争新培育江苏精品5</w:t>
      </w:r>
      <w:r>
        <w:rPr>
          <w:rFonts w:hint="eastAsia"/>
          <w:lang w:eastAsia="zh-CN"/>
        </w:rPr>
        <w:t>—</w:t>
      </w:r>
      <w:r>
        <w:t>10个，新增江苏省省长质量奖（含提名奖）1个、市长质量奖（组织）2个。</w:t>
      </w:r>
    </w:p>
    <w:p w14:paraId="5B431635">
      <w:pPr>
        <w:keepNext w:val="0"/>
        <w:keepLines w:val="0"/>
        <w:pageBreakBefore w:val="0"/>
        <w:widowControl w:val="0"/>
        <w:kinsoku/>
        <w:wordWrap/>
        <w:overflowPunct/>
        <w:topLinePunct w:val="0"/>
        <w:autoSpaceDE/>
        <w:autoSpaceDN/>
        <w:bidi w:val="0"/>
        <w:adjustRightInd/>
        <w:snapToGrid/>
        <w:textAlignment w:val="auto"/>
        <w:rPr>
          <w:rFonts w:cs="Times New Roman"/>
        </w:rPr>
        <w:sectPr>
          <w:pgSz w:w="11906" w:h="16838"/>
          <w:pgMar w:top="1814" w:right="1531" w:bottom="1984" w:left="1531" w:header="510" w:footer="1474" w:gutter="0"/>
          <w:cols w:space="0" w:num="1"/>
          <w:docGrid w:type="lines" w:linePitch="312" w:charSpace="0"/>
        </w:sectPr>
      </w:pPr>
      <w:r>
        <w:rPr>
          <w:rFonts w:hint="eastAsia" w:ascii="楷体_GB2312" w:hAnsi="Times New Roman" w:eastAsia="楷体_GB2312" w:cs="Times New Roman"/>
          <w:kern w:val="2"/>
          <w:sz w:val="32"/>
          <w:szCs w:val="24"/>
          <w:lang w:val="en-US" w:eastAsia="zh-CN" w:bidi="ar-SA"/>
        </w:rPr>
        <w:t>加强场景培育和开放应用。</w:t>
      </w:r>
      <w:r>
        <w:t>建设一批行业领域集成式场景、高价值小切口场景，鼓励开展新场景应用，构建“技术突破</w:t>
      </w:r>
      <w:r>
        <w:rPr>
          <w:rFonts w:hint="eastAsia"/>
          <w:lang w:eastAsia="zh-CN"/>
        </w:rPr>
        <w:t>—</w:t>
      </w:r>
      <w:r>
        <w:t>场景验证</w:t>
      </w:r>
      <w:r>
        <w:rPr>
          <w:rFonts w:hint="eastAsia"/>
          <w:lang w:eastAsia="zh-CN"/>
        </w:rPr>
        <w:t>—</w:t>
      </w:r>
      <w:r>
        <w:t>产业应用</w:t>
      </w:r>
      <w:r>
        <w:rPr>
          <w:rFonts w:hint="eastAsia"/>
          <w:lang w:eastAsia="zh-CN"/>
        </w:rPr>
        <w:t>—</w:t>
      </w:r>
      <w:r>
        <w:t>体系升级”路径。强化未来产业全周期场景设计，打造传统产业转型升级的新业态应用场景，探索获得感更强的新型消费场景、生活服务场景，争取举办人形机器人运动会等场景展示活动。提升场景谋划建设能力，编制发布应用场景建设指南、场景清单和场景案例，打造首用场景样板，鼓励企业参与场景开发利用。</w:t>
      </w:r>
    </w:p>
    <w:p w14:paraId="37B7D4DC">
      <w:pPr>
        <w:pStyle w:val="2"/>
      </w:pPr>
      <w:bookmarkStart w:id="214" w:name="_Toc170"/>
      <w:bookmarkStart w:id="215" w:name="_Toc28656"/>
      <w:bookmarkStart w:id="216" w:name="_Toc28252"/>
      <w:bookmarkStart w:id="217" w:name="_Toc9565"/>
      <w:bookmarkStart w:id="218" w:name="_Toc30351"/>
      <w:bookmarkStart w:id="219" w:name="_Toc20907"/>
      <w:bookmarkStart w:id="220" w:name="_Toc6843"/>
      <w:bookmarkStart w:id="221" w:name="_Toc16018"/>
      <w:bookmarkStart w:id="222" w:name="_Toc29971"/>
      <w:bookmarkStart w:id="223" w:name="_Toc17083"/>
      <w:bookmarkStart w:id="224" w:name="_Toc1804"/>
      <w:bookmarkStart w:id="225" w:name="_Toc14688"/>
      <w:bookmarkStart w:id="226" w:name="_Toc30148"/>
      <w:bookmarkStart w:id="227" w:name="_Toc1488"/>
      <w:r>
        <w:rPr>
          <w:spacing w:val="-11"/>
        </w:rPr>
        <w:t>第四章  以科技创新引领新质生产力发展，加快建设现代化科技强区</w:t>
      </w:r>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p>
    <w:p w14:paraId="226DBB17">
      <w:pPr>
        <w:rPr>
          <w:rFonts w:cs="Times New Roman"/>
        </w:rPr>
      </w:pPr>
      <w:r>
        <w:rPr>
          <w:rFonts w:cs="Times New Roman"/>
        </w:rPr>
        <w:t>坚持创新引领，强化产业需求导向，深入实施科创项目招引建设专项行动，统筹推进创新主体培强、平台提质、生态转优，促进创新链产业链资金链人才链深度融合，全面提升产业创新能力和科技成果转化效能，构筑新质生产力发展的强劲动力。</w:t>
      </w:r>
    </w:p>
    <w:p w14:paraId="66AF198D">
      <w:pPr>
        <w:pStyle w:val="3"/>
        <w:rPr>
          <w:rFonts w:ascii="Times New Roman" w:hAnsi="Times New Roman" w:cs="Times New Roman"/>
        </w:rPr>
      </w:pPr>
      <w:bookmarkStart w:id="228" w:name="_Toc11459"/>
      <w:bookmarkStart w:id="229" w:name="_Toc12728"/>
      <w:bookmarkStart w:id="230" w:name="_Toc20117"/>
      <w:bookmarkStart w:id="231" w:name="_Toc12050"/>
      <w:bookmarkStart w:id="232" w:name="_Toc10721"/>
      <w:bookmarkStart w:id="233" w:name="_Toc15055"/>
      <w:bookmarkStart w:id="234" w:name="_Toc30445"/>
      <w:bookmarkStart w:id="235" w:name="_Toc8136"/>
      <w:bookmarkStart w:id="236" w:name="_Toc16016"/>
      <w:bookmarkStart w:id="237" w:name="_Toc24017"/>
      <w:bookmarkStart w:id="238" w:name="_Toc23513"/>
      <w:bookmarkStart w:id="239" w:name="_Toc10300"/>
      <w:bookmarkStart w:id="240" w:name="_Toc933"/>
      <w:bookmarkStart w:id="241" w:name="_Toc22184"/>
      <w:r>
        <w:rPr>
          <w:rFonts w:ascii="Times New Roman" w:hAnsi="Times New Roman" w:cs="Times New Roman"/>
        </w:rPr>
        <w:t>第一节  强化创新主体培育</w:t>
      </w:r>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p>
    <w:p w14:paraId="667418E7">
      <w:pPr>
        <w:rPr>
          <w:rFonts w:cs="Times New Roman"/>
          <w:szCs w:val="32"/>
        </w:rPr>
      </w:pPr>
      <w:r>
        <w:rPr>
          <w:rFonts w:hint="eastAsia" w:ascii="楷体_GB2312" w:hAnsi="Times New Roman" w:eastAsia="楷体_GB2312" w:cs="Times New Roman"/>
          <w:kern w:val="2"/>
          <w:sz w:val="32"/>
          <w:szCs w:val="24"/>
          <w:lang w:val="en-US" w:eastAsia="zh-CN" w:bidi="ar-SA"/>
        </w:rPr>
        <w:t>实施科技企业</w:t>
      </w:r>
      <w:r>
        <w:rPr>
          <w:rFonts w:hint="default" w:ascii="Times New Roman" w:hAnsi="Times New Roman" w:eastAsia="楷体_GB2312" w:cs="Times New Roman"/>
          <w:kern w:val="2"/>
          <w:sz w:val="32"/>
          <w:szCs w:val="24"/>
          <w:lang w:val="en-US" w:eastAsia="zh-CN" w:bidi="ar-SA"/>
        </w:rPr>
        <w:t>“草灌乔林”</w:t>
      </w:r>
      <w:r>
        <w:rPr>
          <w:rFonts w:hint="eastAsia" w:ascii="楷体_GB2312" w:hAnsi="Times New Roman" w:eastAsia="楷体_GB2312" w:cs="Times New Roman"/>
          <w:kern w:val="2"/>
          <w:sz w:val="32"/>
          <w:szCs w:val="24"/>
          <w:lang w:val="en-US" w:eastAsia="zh-CN" w:bidi="ar-SA"/>
        </w:rPr>
        <w:t>梯次培育行动</w:t>
      </w:r>
      <w:r>
        <w:rPr>
          <w:rFonts w:eastAsia="楷体_GB2312" w:cs="Times New Roman"/>
        </w:rPr>
        <w:t>。</w:t>
      </w:r>
      <w:r>
        <w:rPr>
          <w:rFonts w:cs="Times New Roman"/>
          <w:szCs w:val="32"/>
        </w:rPr>
        <w:t>完善“科创项目</w:t>
      </w:r>
      <w:r>
        <w:rPr>
          <w:rFonts w:hint="eastAsia" w:cs="Times New Roman"/>
          <w:lang w:eastAsia="zh-CN"/>
        </w:rPr>
        <w:t>—</w:t>
      </w:r>
      <w:r>
        <w:rPr>
          <w:rFonts w:cs="Times New Roman"/>
          <w:szCs w:val="32"/>
        </w:rPr>
        <w:t>科技型中小企业</w:t>
      </w:r>
      <w:r>
        <w:rPr>
          <w:rFonts w:hint="eastAsia" w:cs="Times New Roman"/>
          <w:lang w:eastAsia="zh-CN"/>
        </w:rPr>
        <w:t>—</w:t>
      </w:r>
      <w:r>
        <w:rPr>
          <w:rFonts w:cs="Times New Roman"/>
          <w:szCs w:val="32"/>
        </w:rPr>
        <w:t>高新技术企业</w:t>
      </w:r>
      <w:r>
        <w:rPr>
          <w:rFonts w:hint="eastAsia" w:cs="Times New Roman"/>
          <w:lang w:eastAsia="zh-CN"/>
        </w:rPr>
        <w:t>—</w:t>
      </w:r>
      <w:r>
        <w:rPr>
          <w:rFonts w:cs="Times New Roman"/>
          <w:szCs w:val="32"/>
        </w:rPr>
        <w:t>科创板上市企业”梯度培育体系。深入实施“小升高”“小升专”培育行动，加速推动科小转高企、升规上。“一企一策”制定科技型企业成长路线，完善高成长性企业的挖掘、培养、扶持机制，大力培育独角兽、瞪羚企业。深化科技招商，聚焦与上海、苏南适度错配但紧密协同的细分赛道，用好“謇公茶馆”等科技招商阵地，办好“双向奔赴·创新海门”等推介活动，拓展产学研合作招商等模式，招引孵化一批科创项目成长为科技型企业。到2030年，力争高新技术企业突破700家。</w:t>
      </w:r>
    </w:p>
    <w:p w14:paraId="0EEC383A">
      <w:pPr>
        <w:rPr>
          <w:rFonts w:cs="Times New Roman"/>
          <w:szCs w:val="32"/>
        </w:rPr>
      </w:pPr>
      <w:r>
        <w:rPr>
          <w:rFonts w:hint="eastAsia" w:ascii="楷体_GB2312" w:hAnsi="Times New Roman" w:eastAsia="楷体_GB2312" w:cs="Times New Roman"/>
          <w:kern w:val="2"/>
          <w:sz w:val="32"/>
          <w:szCs w:val="24"/>
          <w:lang w:val="en-US" w:eastAsia="zh-CN" w:bidi="ar-SA"/>
        </w:rPr>
        <w:t>提升企业创新能力。</w:t>
      </w:r>
      <w:r>
        <w:rPr>
          <w:rFonts w:cs="Times New Roman"/>
        </w:rPr>
        <w:t>强化企业技术创新决策、研发投入、科研组织、成果转化主体地位，推动形成企业主导的产学研融通创新格局。支持企业牵头实施省级以上各类科技计划项目</w:t>
      </w:r>
      <w:r>
        <w:rPr>
          <w:rFonts w:cs="Times New Roman"/>
          <w:szCs w:val="32"/>
        </w:rPr>
        <w:t>，参与国家颠覆性技术创新大赛等各类活动。</w:t>
      </w:r>
      <w:r>
        <w:rPr>
          <w:rFonts w:cs="Times New Roman"/>
        </w:rPr>
        <w:t>鼓励企业与高校院所合作共建研发中心、产业研究院等研发载体，</w:t>
      </w:r>
      <w:r>
        <w:rPr>
          <w:rFonts w:cs="Times New Roman"/>
          <w:szCs w:val="32"/>
        </w:rPr>
        <w:t>支持龙头企业牵头组建创新联合体。鼓励创新型领军企业向中小微企业开放科研设施，提供技术开发服务，鼓励上下游企业组建共性技术研发平台。</w:t>
      </w:r>
    </w:p>
    <w:p w14:paraId="1735C88A">
      <w:pPr>
        <w:pStyle w:val="3"/>
        <w:rPr>
          <w:rFonts w:ascii="Times New Roman" w:hAnsi="Times New Roman" w:cs="Times New Roman"/>
        </w:rPr>
      </w:pPr>
      <w:bookmarkStart w:id="242" w:name="_Toc21468"/>
      <w:bookmarkStart w:id="243" w:name="_Toc25647"/>
      <w:bookmarkStart w:id="244" w:name="_Toc29166"/>
      <w:bookmarkStart w:id="245" w:name="_Toc19606"/>
      <w:bookmarkStart w:id="246" w:name="_Toc15722"/>
      <w:bookmarkStart w:id="247" w:name="_Toc7912"/>
      <w:bookmarkStart w:id="248" w:name="_Toc15362"/>
      <w:bookmarkStart w:id="249" w:name="_Toc14775"/>
      <w:bookmarkStart w:id="250" w:name="_Toc6477"/>
      <w:bookmarkStart w:id="251" w:name="_Toc29542"/>
      <w:bookmarkStart w:id="252" w:name="_Toc25527"/>
      <w:bookmarkStart w:id="253" w:name="_Toc13739"/>
      <w:bookmarkStart w:id="254" w:name="_Toc16251"/>
      <w:bookmarkStart w:id="255" w:name="_Toc13336"/>
      <w:bookmarkStart w:id="256" w:name="_Toc20987"/>
      <w:r>
        <w:rPr>
          <w:rFonts w:ascii="Times New Roman" w:hAnsi="Times New Roman" w:cs="Times New Roman"/>
        </w:rPr>
        <w:t>第二节  筑强高能级科创平台矩阵</w:t>
      </w:r>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p>
    <w:bookmarkEnd w:id="256"/>
    <w:p w14:paraId="055B03D8">
      <w:pPr>
        <w:bidi w:val="0"/>
      </w:pPr>
      <w:r>
        <w:rPr>
          <w:rFonts w:hint="eastAsia" w:ascii="楷体_GB2312" w:hAnsi="Times New Roman" w:eastAsia="楷体_GB2312" w:cs="Times New Roman"/>
          <w:kern w:val="2"/>
          <w:sz w:val="32"/>
          <w:szCs w:val="24"/>
          <w:lang w:val="en-US" w:eastAsia="zh-CN" w:bidi="ar-SA"/>
        </w:rPr>
        <w:t>提升创新平台效能。</w:t>
      </w:r>
      <w:r>
        <w:t>按照“一产业一平台”思路，聚焦“5+2+X”产业加强创新平台建设。提升创新载体建设质效，增强平台核心技术研发、科创项目孵化、创新资源导入能力，产出一批优质创新成果。培育更多省级以上重点实验室、技术创新中心、制造业创新中心等高能级平台，支持省船舶与海工装备技术创新中心创建国家级技术创新中心、江苏省海洋工程装备重点实验室创建国家级重点实验室。鼓励和规范新型研发机构发展，支持探索新型研发机制和运营机制。“十五五”期间，力争每年新增省市级创新平台5个。</w:t>
      </w:r>
    </w:p>
    <w:tbl>
      <w:tblPr>
        <w:tblStyle w:val="2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60"/>
      </w:tblGrid>
      <w:tr w14:paraId="6AE105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60" w:type="dxa"/>
          </w:tcPr>
          <w:p w14:paraId="0FAF214E">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eastAsia="黑体" w:cs="Times New Roman"/>
                <w:sz w:val="24"/>
              </w:rPr>
            </w:pPr>
            <w:r>
              <w:rPr>
                <w:rFonts w:eastAsia="黑体" w:cs="Times New Roman"/>
                <w:sz w:val="24"/>
              </w:rPr>
              <w:t>专栏5  重点打造科技创新平台</w:t>
            </w:r>
          </w:p>
          <w:p w14:paraId="4C9D6AC7">
            <w:pPr>
              <w:keepNext w:val="0"/>
              <w:keepLines w:val="0"/>
              <w:pageBreakBefore w:val="0"/>
              <w:widowControl w:val="0"/>
              <w:kinsoku/>
              <w:wordWrap/>
              <w:overflowPunct/>
              <w:topLinePunct w:val="0"/>
              <w:autoSpaceDE/>
              <w:autoSpaceDN/>
              <w:bidi w:val="0"/>
              <w:adjustRightInd/>
              <w:snapToGrid/>
              <w:spacing w:line="400" w:lineRule="exact"/>
              <w:ind w:firstLine="480"/>
              <w:textAlignment w:val="auto"/>
              <w:rPr>
                <w:rFonts w:hint="eastAsia" w:ascii="仿宋_GB2312" w:hAnsi="仿宋_GB2312" w:eastAsia="仿宋_GB2312" w:cs="仿宋_GB2312"/>
                <w:sz w:val="24"/>
              </w:rPr>
            </w:pPr>
            <w:r>
              <w:rPr>
                <w:rFonts w:eastAsia="楷体_GB2312" w:cs="Times New Roman"/>
                <w:sz w:val="24"/>
              </w:rPr>
              <w:t>省船舶与海洋工程装备技术创新中心</w:t>
            </w:r>
            <w:r>
              <w:rPr>
                <w:rFonts w:cs="Times New Roman"/>
                <w:sz w:val="24"/>
              </w:rPr>
              <w:t>。</w:t>
            </w:r>
            <w:r>
              <w:rPr>
                <w:rFonts w:hint="eastAsia" w:ascii="仿宋_GB2312" w:hAnsi="仿宋_GB2312" w:eastAsia="仿宋_GB2312" w:cs="仿宋_GB2312"/>
                <w:sz w:val="24"/>
              </w:rPr>
              <w:t>增强资源整合能力，建设关键共性技术服务、产品开发及系统集成的战略创新平台，打造船舶海工领域产业创新新生态。</w:t>
            </w:r>
          </w:p>
          <w:p w14:paraId="4E162C09">
            <w:pPr>
              <w:keepNext w:val="0"/>
              <w:keepLines w:val="0"/>
              <w:pageBreakBefore w:val="0"/>
              <w:widowControl w:val="0"/>
              <w:kinsoku/>
              <w:wordWrap/>
              <w:overflowPunct/>
              <w:topLinePunct w:val="0"/>
              <w:autoSpaceDE/>
              <w:autoSpaceDN/>
              <w:bidi w:val="0"/>
              <w:adjustRightInd/>
              <w:snapToGrid/>
              <w:spacing w:line="400" w:lineRule="exact"/>
              <w:ind w:firstLine="480"/>
              <w:textAlignment w:val="auto"/>
              <w:rPr>
                <w:rFonts w:hint="eastAsia" w:ascii="仿宋_GB2312" w:hAnsi="仿宋_GB2312" w:eastAsia="仿宋_GB2312" w:cs="仿宋_GB2312"/>
                <w:sz w:val="24"/>
              </w:rPr>
            </w:pPr>
            <w:r>
              <w:rPr>
                <w:rFonts w:eastAsia="楷体_GB2312" w:cs="Times New Roman"/>
                <w:sz w:val="24"/>
              </w:rPr>
              <w:t>江苏省海洋工程装备重点实验室。</w:t>
            </w:r>
            <w:r>
              <w:rPr>
                <w:rFonts w:hint="eastAsia" w:ascii="仿宋_GB2312" w:hAnsi="仿宋_GB2312" w:eastAsia="仿宋_GB2312" w:cs="仿宋_GB2312"/>
                <w:sz w:val="24"/>
              </w:rPr>
              <w:t>联合省内外重点高校科研院所，强化船舶开发、船用轻量化耐腐蚀新材料研究等技术攻关。</w:t>
            </w:r>
          </w:p>
          <w:p w14:paraId="43A423A5">
            <w:pPr>
              <w:keepNext w:val="0"/>
              <w:keepLines w:val="0"/>
              <w:pageBreakBefore w:val="0"/>
              <w:widowControl w:val="0"/>
              <w:kinsoku/>
              <w:wordWrap/>
              <w:overflowPunct/>
              <w:topLinePunct w:val="0"/>
              <w:autoSpaceDE/>
              <w:autoSpaceDN/>
              <w:bidi w:val="0"/>
              <w:adjustRightInd/>
              <w:snapToGrid/>
              <w:spacing w:line="400" w:lineRule="exact"/>
              <w:ind w:firstLine="480"/>
              <w:textAlignment w:val="auto"/>
              <w:rPr>
                <w:rFonts w:hint="eastAsia" w:ascii="仿宋_GB2312" w:hAnsi="仿宋_GB2312" w:eastAsia="仿宋_GB2312" w:cs="仿宋_GB2312"/>
                <w:sz w:val="24"/>
              </w:rPr>
            </w:pPr>
            <w:r>
              <w:rPr>
                <w:rFonts w:eastAsia="楷体_GB2312" w:cs="Times New Roman"/>
                <w:sz w:val="24"/>
              </w:rPr>
              <w:t>长三角药物高等研究院科创平台。</w:t>
            </w:r>
            <w:r>
              <w:rPr>
                <w:rFonts w:hint="eastAsia" w:ascii="仿宋_GB2312" w:hAnsi="仿宋_GB2312" w:eastAsia="仿宋_GB2312" w:cs="仿宋_GB2312"/>
                <w:sz w:val="24"/>
              </w:rPr>
              <w:t>提升高端复合型人才培育水平，打造长三角地区生物医药领域产教融合特色发展模式。</w:t>
            </w:r>
          </w:p>
          <w:p w14:paraId="0AF84AA2">
            <w:pPr>
              <w:keepNext w:val="0"/>
              <w:keepLines w:val="0"/>
              <w:pageBreakBefore w:val="0"/>
              <w:widowControl w:val="0"/>
              <w:kinsoku/>
              <w:wordWrap/>
              <w:overflowPunct/>
              <w:topLinePunct w:val="0"/>
              <w:autoSpaceDE/>
              <w:autoSpaceDN/>
              <w:bidi w:val="0"/>
              <w:adjustRightInd/>
              <w:snapToGrid/>
              <w:spacing w:line="400" w:lineRule="exact"/>
              <w:ind w:firstLine="480"/>
              <w:textAlignment w:val="auto"/>
              <w:rPr>
                <w:rFonts w:hint="eastAsia" w:ascii="仿宋_GB2312" w:hAnsi="仿宋_GB2312" w:eastAsia="仿宋_GB2312" w:cs="仿宋_GB2312"/>
                <w:sz w:val="24"/>
              </w:rPr>
            </w:pPr>
            <w:r>
              <w:rPr>
                <w:rFonts w:eastAsia="楷体_GB2312" w:cs="Times New Roman"/>
                <w:sz w:val="24"/>
              </w:rPr>
              <w:t>武汉大学集成电路研究中心。</w:t>
            </w:r>
            <w:r>
              <w:rPr>
                <w:rFonts w:hint="eastAsia" w:ascii="仿宋_GB2312" w:hAnsi="仿宋_GB2312" w:eastAsia="仿宋_GB2312" w:cs="仿宋_GB2312"/>
                <w:sz w:val="24"/>
              </w:rPr>
              <w:t>发挥技术、项目等资源优势，有力支撑海门新一代信息技术产业发展壮大。</w:t>
            </w:r>
          </w:p>
          <w:p w14:paraId="7253EC96">
            <w:pPr>
              <w:keepNext w:val="0"/>
              <w:keepLines w:val="0"/>
              <w:pageBreakBefore w:val="0"/>
              <w:widowControl w:val="0"/>
              <w:kinsoku/>
              <w:wordWrap/>
              <w:overflowPunct/>
              <w:topLinePunct w:val="0"/>
              <w:autoSpaceDE/>
              <w:autoSpaceDN/>
              <w:bidi w:val="0"/>
              <w:adjustRightInd/>
              <w:snapToGrid/>
              <w:spacing w:line="400" w:lineRule="exact"/>
              <w:ind w:firstLine="480"/>
              <w:textAlignment w:val="auto"/>
              <w:rPr>
                <w:rFonts w:hint="eastAsia" w:ascii="仿宋_GB2312" w:hAnsi="仿宋_GB2312" w:eastAsia="仿宋_GB2312" w:cs="仿宋_GB2312"/>
                <w:sz w:val="24"/>
              </w:rPr>
            </w:pPr>
            <w:r>
              <w:rPr>
                <w:rFonts w:eastAsia="楷体_GB2312" w:cs="Times New Roman"/>
                <w:sz w:val="24"/>
              </w:rPr>
              <w:t>罗普特人工智能海洋研究院。</w:t>
            </w:r>
            <w:r>
              <w:rPr>
                <w:rFonts w:hint="eastAsia" w:ascii="仿宋_GB2312" w:hAnsi="仿宋_GB2312" w:eastAsia="仿宋_GB2312" w:cs="仿宋_GB2312"/>
                <w:sz w:val="24"/>
              </w:rPr>
              <w:t>推进新一代信息技术与海洋产业的深度融合，打造海洋科技创新基地。</w:t>
            </w:r>
          </w:p>
          <w:p w14:paraId="18A81820">
            <w:pPr>
              <w:keepNext w:val="0"/>
              <w:keepLines w:val="0"/>
              <w:pageBreakBefore w:val="0"/>
              <w:widowControl w:val="0"/>
              <w:kinsoku/>
              <w:wordWrap/>
              <w:overflowPunct/>
              <w:topLinePunct w:val="0"/>
              <w:autoSpaceDE/>
              <w:autoSpaceDN/>
              <w:bidi w:val="0"/>
              <w:adjustRightInd/>
              <w:snapToGrid/>
              <w:spacing w:line="400" w:lineRule="exact"/>
              <w:ind w:firstLine="480"/>
              <w:textAlignment w:val="auto"/>
              <w:rPr>
                <w:rFonts w:eastAsia="方正仿宋_GBK" w:cs="Times New Roman"/>
                <w:sz w:val="24"/>
              </w:rPr>
            </w:pPr>
            <w:r>
              <w:rPr>
                <w:rFonts w:eastAsia="楷体_GB2312" w:cs="Times New Roman"/>
                <w:sz w:val="24"/>
              </w:rPr>
              <w:t>德硅凯氟光学晶体研究院。</w:t>
            </w:r>
            <w:r>
              <w:rPr>
                <w:rFonts w:hint="eastAsia" w:ascii="仿宋_GB2312" w:hAnsi="仿宋_GB2312" w:eastAsia="仿宋_GB2312" w:cs="仿宋_GB2312"/>
                <w:sz w:val="24"/>
              </w:rPr>
              <w:t>打造集科研、开发、产业化于一体的综合性研发平台，在光学晶体材料的设计、制备、性能优化及应用等方面取得突破性进展。</w:t>
            </w:r>
          </w:p>
          <w:p w14:paraId="03B2512E">
            <w:pPr>
              <w:keepNext w:val="0"/>
              <w:keepLines w:val="0"/>
              <w:pageBreakBefore w:val="0"/>
              <w:widowControl w:val="0"/>
              <w:kinsoku/>
              <w:wordWrap/>
              <w:overflowPunct/>
              <w:topLinePunct w:val="0"/>
              <w:autoSpaceDE/>
              <w:autoSpaceDN/>
              <w:bidi w:val="0"/>
              <w:adjustRightInd/>
              <w:snapToGrid/>
              <w:spacing w:line="400" w:lineRule="exact"/>
              <w:ind w:firstLine="480"/>
              <w:textAlignment w:val="auto"/>
              <w:rPr>
                <w:rFonts w:eastAsia="方正楷体_GBK" w:cs="Times New Roman"/>
                <w:sz w:val="24"/>
              </w:rPr>
            </w:pPr>
            <w:r>
              <w:rPr>
                <w:rFonts w:eastAsia="楷体_GB2312" w:cs="Times New Roman"/>
                <w:sz w:val="24"/>
              </w:rPr>
              <w:t>招商工业创新中心。</w:t>
            </w:r>
            <w:r>
              <w:rPr>
                <w:rFonts w:hint="eastAsia" w:ascii="仿宋_GB2312" w:hAnsi="仿宋_GB2312" w:eastAsia="仿宋_GB2312" w:cs="仿宋_GB2312"/>
                <w:sz w:val="24"/>
              </w:rPr>
              <w:t>依托船舶与深海装备智能控制及网络安全创新中心，以自主可控的研发为根基，深度服务船舶海工领域，引领海事行业的绿色与智能变革。</w:t>
            </w:r>
          </w:p>
        </w:tc>
      </w:tr>
    </w:tbl>
    <w:p w14:paraId="393EF9FD">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楷体_GB2312" w:hAnsi="Times New Roman" w:eastAsia="楷体_GB2312" w:cs="Times New Roman"/>
          <w:kern w:val="2"/>
          <w:sz w:val="32"/>
          <w:szCs w:val="24"/>
          <w:lang w:val="en-US" w:eastAsia="zh-CN" w:bidi="ar-SA"/>
        </w:rPr>
      </w:pPr>
    </w:p>
    <w:p w14:paraId="558DF43D">
      <w:pPr>
        <w:bidi w:val="0"/>
      </w:pPr>
      <w:r>
        <w:rPr>
          <w:rFonts w:hint="eastAsia" w:ascii="楷体_GB2312" w:hAnsi="Times New Roman" w:eastAsia="楷体_GB2312" w:cs="Times New Roman"/>
          <w:kern w:val="2"/>
          <w:sz w:val="32"/>
          <w:szCs w:val="24"/>
          <w:lang w:val="en-US" w:eastAsia="zh-CN" w:bidi="ar-SA"/>
        </w:rPr>
        <w:t>推进科创载体盘活提质</w:t>
      </w:r>
      <w:r>
        <w:t>。科学布局新建科创载体，推动存量载体盘活更新，提升科创载体运营质效与赋能能力。优化整合载体资源，建设一站式数字化管理平台，增强载体闲置资源共享、投融资对接、企业服务、人才交流、协同创新等功能。完善科创载体运营机制，支持引入专业化运营团队，推进市场化、公司化运作，逐步向集成服务商转型。提升国有资本运营管理能力，鼓励社会资本参与载体建设，探索国有资本和民间资本共建的合作机制和利益分配机制。</w:t>
      </w:r>
    </w:p>
    <w:p w14:paraId="41DFA5BF">
      <w:pPr>
        <w:pStyle w:val="3"/>
        <w:rPr>
          <w:rFonts w:ascii="Times New Roman" w:hAnsi="Times New Roman" w:cs="Times New Roman"/>
        </w:rPr>
      </w:pPr>
      <w:bookmarkStart w:id="257" w:name="_Toc2117"/>
      <w:bookmarkStart w:id="258" w:name="_Toc21735"/>
      <w:bookmarkStart w:id="259" w:name="_Toc1927"/>
      <w:bookmarkStart w:id="260" w:name="_Toc3314"/>
      <w:bookmarkStart w:id="261" w:name="_Toc28333"/>
      <w:bookmarkStart w:id="262" w:name="_Toc19914"/>
      <w:bookmarkStart w:id="263" w:name="_Toc30417"/>
      <w:bookmarkStart w:id="264" w:name="_Toc25232"/>
      <w:bookmarkStart w:id="265" w:name="_Toc25591"/>
      <w:bookmarkStart w:id="266" w:name="_Toc22567"/>
      <w:bookmarkStart w:id="267" w:name="_Toc14395"/>
      <w:bookmarkStart w:id="268" w:name="_Toc22604"/>
      <w:bookmarkStart w:id="269" w:name="_Toc17162"/>
      <w:bookmarkStart w:id="270" w:name="_Toc26858"/>
      <w:r>
        <w:rPr>
          <w:rFonts w:ascii="Times New Roman" w:hAnsi="Times New Roman" w:cs="Times New Roman"/>
        </w:rPr>
        <w:t>第三节  畅通贯通式科技成果转化</w:t>
      </w:r>
      <w:bookmarkEnd w:id="257"/>
      <w:bookmarkEnd w:id="258"/>
      <w:bookmarkEnd w:id="259"/>
      <w:bookmarkEnd w:id="260"/>
      <w:bookmarkEnd w:id="261"/>
      <w:bookmarkEnd w:id="262"/>
      <w:bookmarkEnd w:id="263"/>
      <w:r>
        <w:rPr>
          <w:rFonts w:ascii="Times New Roman" w:hAnsi="Times New Roman" w:cs="Times New Roman"/>
        </w:rPr>
        <w:t>体系</w:t>
      </w:r>
      <w:bookmarkEnd w:id="264"/>
      <w:bookmarkEnd w:id="265"/>
      <w:bookmarkEnd w:id="266"/>
      <w:bookmarkEnd w:id="267"/>
      <w:bookmarkEnd w:id="268"/>
      <w:bookmarkEnd w:id="269"/>
      <w:bookmarkEnd w:id="270"/>
    </w:p>
    <w:p w14:paraId="3BE66535">
      <w:pPr>
        <w:rPr>
          <w:rFonts w:cs="Times New Roman"/>
          <w:szCs w:val="32"/>
        </w:rPr>
      </w:pPr>
      <w:r>
        <w:rPr>
          <w:rFonts w:hint="eastAsia" w:ascii="楷体_GB2312" w:hAnsi="Times New Roman" w:eastAsia="楷体_GB2312" w:cs="Times New Roman"/>
          <w:kern w:val="2"/>
          <w:sz w:val="32"/>
          <w:szCs w:val="24"/>
          <w:lang w:val="en-US" w:eastAsia="zh-CN" w:bidi="ar-SA"/>
        </w:rPr>
        <w:t>强化产业技术供需对接。</w:t>
      </w:r>
      <w:r>
        <w:rPr>
          <w:rFonts w:cs="Times New Roman"/>
          <w:szCs w:val="32"/>
        </w:rPr>
        <w:t>强化企业“出题人”地位，编制企业技术需求清单，加强与复旦大学、上海交大、武汉大学等高校院所产学研合作，建立产学研合作信息库，支持高校院所来海门建立技术转移中心、技术转移工作站。拓展技术成果来源渠道，定期举办科技成果推介会、产业技术创新论坛等产学研对接活动，在上海、武汉、西安、杭州等地搭建“科创驿站”“协同创新中心”，推动更多与海门产业契合度高、科技含量高、成长潜力高的技术成果来海产业化。“十五五”期间，新增产学研合作项目1000个。</w:t>
      </w:r>
    </w:p>
    <w:p w14:paraId="10C56D69">
      <w:pPr>
        <w:keepNext w:val="0"/>
        <w:keepLines w:val="0"/>
        <w:pageBreakBefore w:val="0"/>
        <w:widowControl/>
        <w:kinsoku/>
        <w:wordWrap/>
        <w:overflowPunct/>
        <w:topLinePunct w:val="0"/>
        <w:autoSpaceDE/>
        <w:autoSpaceDN/>
        <w:bidi w:val="0"/>
        <w:adjustRightInd/>
        <w:snapToGrid/>
        <w:textAlignment w:val="auto"/>
        <w:rPr>
          <w:rFonts w:eastAsia="方正仿宋_GBK" w:cs="Times New Roman"/>
          <w:szCs w:val="32"/>
        </w:rPr>
      </w:pPr>
      <w:r>
        <w:rPr>
          <w:rFonts w:hint="eastAsia" w:ascii="楷体_GB2312" w:hAnsi="Times New Roman" w:eastAsia="楷体_GB2312" w:cs="Times New Roman"/>
          <w:kern w:val="2"/>
          <w:sz w:val="32"/>
          <w:szCs w:val="24"/>
          <w:lang w:val="en-US" w:eastAsia="zh-CN" w:bidi="ar-SA"/>
        </w:rPr>
        <w:t>完善成果转化服务体系</w:t>
      </w:r>
      <w:r>
        <w:rPr>
          <w:rFonts w:eastAsia="楷体_GB2312" w:cs="Times New Roman"/>
        </w:rPr>
        <w:t>。</w:t>
      </w:r>
      <w:r>
        <w:rPr>
          <w:rFonts w:cs="Times New Roman"/>
          <w:szCs w:val="32"/>
        </w:rPr>
        <w:t>推广“概念验证</w:t>
      </w:r>
      <w:r>
        <w:rPr>
          <w:rFonts w:cs="Times New Roman"/>
        </w:rPr>
        <w:t>+</w:t>
      </w:r>
      <w:r>
        <w:rPr>
          <w:rFonts w:cs="Times New Roman"/>
          <w:szCs w:val="32"/>
        </w:rPr>
        <w:t>拨投结合</w:t>
      </w:r>
      <w:r>
        <w:rPr>
          <w:rFonts w:cs="Times New Roman"/>
        </w:rPr>
        <w:t>+</w:t>
      </w:r>
      <w:r>
        <w:rPr>
          <w:rFonts w:cs="Times New Roman"/>
          <w:szCs w:val="32"/>
        </w:rPr>
        <w:t>科创基金”前沿技术产业化模式，构建从成果产出至中试至商业化产品的全链条服务。构建“早期创业孵化载体</w:t>
      </w:r>
      <w:r>
        <w:rPr>
          <w:rFonts w:hint="eastAsia" w:cs="Times New Roman"/>
          <w:szCs w:val="32"/>
          <w:lang w:eastAsia="zh-CN"/>
        </w:rPr>
        <w:t>—</w:t>
      </w:r>
      <w:r>
        <w:rPr>
          <w:rFonts w:cs="Times New Roman"/>
          <w:szCs w:val="32"/>
        </w:rPr>
        <w:t>技术概念验证平台</w:t>
      </w:r>
      <w:r>
        <w:rPr>
          <w:rFonts w:hint="eastAsia" w:cs="Times New Roman"/>
          <w:szCs w:val="32"/>
          <w:lang w:eastAsia="zh-CN"/>
        </w:rPr>
        <w:t>—</w:t>
      </w:r>
      <w:r>
        <w:rPr>
          <w:rFonts w:cs="Times New Roman"/>
          <w:szCs w:val="32"/>
        </w:rPr>
        <w:t>创新型企业孵化器</w:t>
      </w:r>
      <w:r>
        <w:rPr>
          <w:rFonts w:hint="eastAsia" w:cs="Times New Roman"/>
          <w:szCs w:val="32"/>
          <w:lang w:eastAsia="zh-CN"/>
        </w:rPr>
        <w:t>—</w:t>
      </w:r>
      <w:r>
        <w:rPr>
          <w:rFonts w:cs="Times New Roman"/>
          <w:szCs w:val="32"/>
        </w:rPr>
        <w:t>中试验证基地</w:t>
      </w:r>
      <w:r>
        <w:rPr>
          <w:rFonts w:hint="eastAsia" w:cs="Times New Roman"/>
          <w:szCs w:val="32"/>
          <w:lang w:eastAsia="zh-CN"/>
        </w:rPr>
        <w:t>—</w:t>
      </w:r>
      <w:r>
        <w:rPr>
          <w:rFonts w:cs="Times New Roman"/>
          <w:szCs w:val="32"/>
        </w:rPr>
        <w:t>高成长企业加速器</w:t>
      </w:r>
      <w:r>
        <w:rPr>
          <w:rFonts w:hint="eastAsia" w:cs="Times New Roman"/>
          <w:szCs w:val="32"/>
          <w:lang w:eastAsia="zh-CN"/>
        </w:rPr>
        <w:t>—</w:t>
      </w:r>
      <w:r>
        <w:rPr>
          <w:rFonts w:cs="Times New Roman"/>
          <w:szCs w:val="32"/>
        </w:rPr>
        <w:t>特色产业集聚区”全生命周期科技创业孵化链条。优化整合孵化器资源，完善运营机制，支持孵化器聚焦特色产业打造专业化孵化器，引导孵化载体为不同发展阶段企业提供差异化服务，支持创建省级标杆孵化器、国家卓越级孵化器。建设分阶段体系化的概念验证中心、中试工程化服务平台和示范产线，完善工艺优化、定制化服务等功能。引进科技成果应用场景促进机构等新型服务机构，培育创业导师、技术经纪人、项目经理人等转化服务人才队伍。</w:t>
      </w:r>
    </w:p>
    <w:p w14:paraId="01030FBE">
      <w:pPr>
        <w:pStyle w:val="3"/>
        <w:rPr>
          <w:rFonts w:ascii="Times New Roman" w:hAnsi="Times New Roman" w:cs="Times New Roman"/>
        </w:rPr>
      </w:pPr>
      <w:bookmarkStart w:id="271" w:name="_Toc24950"/>
      <w:bookmarkStart w:id="272" w:name="_Toc1263"/>
      <w:bookmarkStart w:id="273" w:name="_Toc22079"/>
      <w:bookmarkStart w:id="274" w:name="_Toc25783"/>
      <w:bookmarkStart w:id="275" w:name="_Toc28150"/>
      <w:bookmarkStart w:id="276" w:name="_Toc8606"/>
      <w:bookmarkStart w:id="277" w:name="_Toc10247"/>
      <w:bookmarkStart w:id="278" w:name="_Toc26562"/>
      <w:bookmarkStart w:id="279" w:name="_Toc6161"/>
      <w:bookmarkStart w:id="280" w:name="_Toc19013"/>
      <w:bookmarkStart w:id="281" w:name="_Toc31814"/>
      <w:bookmarkStart w:id="282" w:name="_Toc25324"/>
      <w:bookmarkStart w:id="283" w:name="_Toc11129"/>
      <w:bookmarkStart w:id="284" w:name="_Toc7945"/>
      <w:r>
        <w:rPr>
          <w:rFonts w:ascii="Times New Roman" w:hAnsi="Times New Roman" w:cs="Times New Roman"/>
        </w:rPr>
        <w:t>第四节  营造更具竞争力的创新生态</w:t>
      </w:r>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p>
    <w:p w14:paraId="6D7FA125">
      <w:pPr>
        <w:rPr>
          <w:rFonts w:eastAsia="楷体_GB2312" w:cs="Times New Roman"/>
        </w:rPr>
      </w:pPr>
      <w:r>
        <w:rPr>
          <w:rFonts w:hint="eastAsia" w:ascii="楷体_GB2312" w:hAnsi="Times New Roman" w:eastAsia="楷体_GB2312" w:cs="Times New Roman"/>
          <w:kern w:val="2"/>
          <w:sz w:val="32"/>
          <w:szCs w:val="24"/>
          <w:lang w:val="en-US" w:eastAsia="zh-CN" w:bidi="ar-SA"/>
        </w:rPr>
        <w:t>建设知识产权强区</w:t>
      </w:r>
      <w:r>
        <w:rPr>
          <w:rFonts w:eastAsia="楷体_GB2312" w:cs="Times New Roman"/>
          <w:szCs w:val="32"/>
        </w:rPr>
        <w:t>。</w:t>
      </w:r>
      <w:r>
        <w:rPr>
          <w:rFonts w:cs="Times New Roman"/>
        </w:rPr>
        <w:t>健全知识产权“快速预审</w:t>
      </w:r>
      <w:r>
        <w:rPr>
          <w:rFonts w:hint="eastAsia" w:cs="Times New Roman"/>
          <w:lang w:eastAsia="zh-CN"/>
        </w:rPr>
        <w:t>—</w:t>
      </w:r>
      <w:r>
        <w:rPr>
          <w:rFonts w:cs="Times New Roman"/>
        </w:rPr>
        <w:t>协同保护</w:t>
      </w:r>
      <w:r>
        <w:rPr>
          <w:rFonts w:hint="eastAsia" w:cs="Times New Roman"/>
          <w:lang w:eastAsia="zh-CN"/>
        </w:rPr>
        <w:t>—</w:t>
      </w:r>
      <w:r>
        <w:rPr>
          <w:rFonts w:cs="Times New Roman"/>
        </w:rPr>
        <w:t>运营转化”全生命周期服务体系。聚焦海门高端装备制造、生物医药、新材料、新能源等重点领域，实施高价值专利培育工程，打造专利密集型产业。以现代农业、高端家纺、智能装备等为重点，强化商标许可、品牌连锁、注册集体商标，提高商标市场价值。建好南通知识产权保护中心海门工作站，开展专利技术对接、专利开放许可、运营人才培育、知识产权金融服务等多项服务。健全知识产权纠纷多元解决机制。到2030年，力争专利授权突破5000件，新增国家知识产权示范企业5家以上。</w:t>
      </w:r>
    </w:p>
    <w:p w14:paraId="54560054">
      <w:pPr>
        <w:bidi w:val="0"/>
      </w:pPr>
      <w:r>
        <w:rPr>
          <w:rFonts w:hint="eastAsia" w:ascii="楷体_GB2312" w:hAnsi="Times New Roman" w:eastAsia="楷体_GB2312" w:cs="Times New Roman"/>
          <w:kern w:val="2"/>
          <w:sz w:val="32"/>
          <w:szCs w:val="24"/>
          <w:lang w:val="en-US" w:eastAsia="zh-CN" w:bidi="ar-SA"/>
        </w:rPr>
        <w:t>强化科技金融精准赋能。</w:t>
      </w:r>
      <w:r>
        <w:t>聚焦不同生命周期、不同类型企业，加强差异化、适配性金融服务供给，打造从初创期到成熟期的全链条金融扶持体系。探索“投贷联动”“拨改投”等模式，加大产业基金布局，按照“政府引导+市场运作”模式，运营好海门謇创产业母基金和各类投资基金，畅通基金“投募管退”循环机制，稳步发展耐心资本、大胆资本。进一步扩大“苏科贷”“通科贷”等惠及面，创新科技担保、科技质押、科技保险、科创票据等科技金融产品，支持发放科技创新债，设立科技保险专项基金。鼓励区内金融机构建立科技型企业融资绿色通道，单列科技型企业贷款规模。到2030年，科技型企业科技贷款余额超100亿元，科创基金规模突破100亿元。</w:t>
      </w:r>
    </w:p>
    <w:p w14:paraId="02576D83">
      <w:pPr>
        <w:pStyle w:val="3"/>
        <w:rPr>
          <w:rFonts w:ascii="Times New Roman" w:hAnsi="Times New Roman" w:eastAsia="楷体_GB2312" w:cs="Times New Roman"/>
        </w:rPr>
      </w:pPr>
      <w:bookmarkStart w:id="285" w:name="_Toc28822"/>
      <w:bookmarkStart w:id="286" w:name="_Toc23217"/>
      <w:bookmarkStart w:id="287" w:name="_Toc27813"/>
      <w:bookmarkStart w:id="288" w:name="_Toc27460"/>
      <w:bookmarkStart w:id="289" w:name="_Toc5259"/>
      <w:bookmarkStart w:id="290" w:name="_Toc13375"/>
      <w:bookmarkStart w:id="291" w:name="_Toc16314"/>
      <w:bookmarkStart w:id="292" w:name="_Toc30764"/>
      <w:bookmarkStart w:id="293" w:name="_Toc6558"/>
      <w:bookmarkStart w:id="294" w:name="_Toc26389"/>
      <w:bookmarkStart w:id="295" w:name="_Toc19541"/>
      <w:bookmarkStart w:id="296" w:name="_Toc18449"/>
      <w:bookmarkStart w:id="297" w:name="_Toc15705"/>
      <w:bookmarkStart w:id="298" w:name="_Toc20427"/>
      <w:r>
        <w:rPr>
          <w:rFonts w:ascii="Times New Roman" w:hAnsi="Times New Roman" w:cs="Times New Roman"/>
        </w:rPr>
        <w:t>第五节  推进教育科技人才</w:t>
      </w:r>
      <w:bookmarkEnd w:id="285"/>
      <w:bookmarkEnd w:id="286"/>
      <w:bookmarkEnd w:id="287"/>
      <w:bookmarkEnd w:id="288"/>
      <w:bookmarkEnd w:id="289"/>
      <w:bookmarkEnd w:id="290"/>
      <w:bookmarkEnd w:id="291"/>
      <w:bookmarkEnd w:id="292"/>
      <w:bookmarkEnd w:id="293"/>
      <w:bookmarkEnd w:id="294"/>
      <w:bookmarkEnd w:id="295"/>
      <w:bookmarkEnd w:id="296"/>
      <w:r>
        <w:rPr>
          <w:rFonts w:ascii="Times New Roman" w:hAnsi="Times New Roman" w:cs="Times New Roman"/>
        </w:rPr>
        <w:t>一体化发展</w:t>
      </w:r>
      <w:bookmarkEnd w:id="297"/>
      <w:bookmarkEnd w:id="298"/>
    </w:p>
    <w:p w14:paraId="6F10E9A4">
      <w:pPr>
        <w:rPr>
          <w:rFonts w:cs="Times New Roman"/>
        </w:rPr>
      </w:pPr>
      <w:r>
        <w:rPr>
          <w:rFonts w:hint="eastAsia" w:ascii="楷体_GB2312" w:hAnsi="Times New Roman" w:eastAsia="楷体_GB2312" w:cs="Times New Roman"/>
          <w:kern w:val="2"/>
          <w:sz w:val="32"/>
          <w:szCs w:val="24"/>
          <w:lang w:val="en-US" w:eastAsia="zh-CN" w:bidi="ar-SA"/>
        </w:rPr>
        <w:t>推动教育培养机制改革</w:t>
      </w:r>
      <w:r>
        <w:rPr>
          <w:rFonts w:eastAsia="楷体_GB2312" w:cs="Times New Roman"/>
        </w:rPr>
        <w:t>。</w:t>
      </w:r>
      <w:r>
        <w:rPr>
          <w:rFonts w:cs="Times New Roman"/>
        </w:rPr>
        <w:t>提升高素质应用型人才和技能型人才培育能力，完善“</w:t>
      </w:r>
      <w:r>
        <w:rPr>
          <w:rFonts w:eastAsia="方正楷体_GB2312" w:cs="Times New Roman"/>
        </w:rPr>
        <w:t>5+2</w:t>
      </w:r>
      <w:r>
        <w:rPr>
          <w:rFonts w:cs="Times New Roman"/>
        </w:rPr>
        <w:t>”高职本科、“3+3”中职高职等分段培养模式，稳妥推进“学历证书+若干职业技能等级证书”制度，推动海门中专动态调整专业设置与课程内容，力争专业设置与重点产业匹配度达90%以上。深化产教融合，办好产业学院，推广现代学徒制和新型学徒制，建设一批行业产教融合共同体和产教联合体，加强“双师型”教师培养，鼓励企业与高校院所联合举办卓越工程师培训班。放大海门科学教育</w:t>
      </w:r>
      <w:r>
        <w:rPr>
          <w:rFonts w:hint="eastAsia" w:cs="Times New Roman"/>
        </w:rPr>
        <w:t>实验</w:t>
      </w:r>
      <w:r>
        <w:rPr>
          <w:rFonts w:cs="Times New Roman"/>
        </w:rPr>
        <w:t>区优势，强化学生科学素质培养，支持高中开设学科拓展与研究性学习课程。完善拔尖创新人才发现和贯通培养模式，探索与省内知名高校建立“初中</w:t>
      </w:r>
      <w:r>
        <w:rPr>
          <w:rFonts w:hint="eastAsia" w:cs="Times New Roman"/>
          <w:lang w:eastAsia="zh-CN"/>
        </w:rPr>
        <w:t>—</w:t>
      </w:r>
      <w:r>
        <w:rPr>
          <w:rFonts w:cs="Times New Roman"/>
        </w:rPr>
        <w:t>高中</w:t>
      </w:r>
      <w:r>
        <w:rPr>
          <w:rFonts w:hint="eastAsia" w:cs="Times New Roman"/>
          <w:lang w:eastAsia="zh-CN"/>
        </w:rPr>
        <w:t>—</w:t>
      </w:r>
      <w:r>
        <w:rPr>
          <w:rFonts w:cs="Times New Roman"/>
        </w:rPr>
        <w:t>大学”拔尖创新人才培养衔接新机制。</w:t>
      </w:r>
    </w:p>
    <w:p w14:paraId="76E03B7A">
      <w:pPr>
        <w:rPr>
          <w:rFonts w:cs="Times New Roman"/>
        </w:rPr>
      </w:pPr>
      <w:r>
        <w:rPr>
          <w:rFonts w:hint="eastAsia" w:ascii="楷体_GB2312" w:hAnsi="Times New Roman" w:eastAsia="楷体_GB2312" w:cs="Times New Roman"/>
          <w:kern w:val="2"/>
          <w:sz w:val="32"/>
          <w:szCs w:val="24"/>
          <w:lang w:val="en-US" w:eastAsia="zh-CN" w:bidi="ar-SA"/>
        </w:rPr>
        <w:t>强化创新人才支撑</w:t>
      </w:r>
      <w:r>
        <w:rPr>
          <w:rFonts w:eastAsia="楷体_GB2312" w:cs="Times New Roman"/>
        </w:rPr>
        <w:t>。</w:t>
      </w:r>
      <w:r>
        <w:rPr>
          <w:rFonts w:cs="Times New Roman"/>
        </w:rPr>
        <w:t>完善全区人才队伍雁阵，引进一批掌握关键技术的科技领军人才和高层次创新创业人才，集聚一批产业发展紧缺的应用型人才和高技能人才，吸引一批干事创业的青年人才。完善“东洲英才”政策体系，推行“一事一议”“直通引进”“即到即评”等引才模式，办好“东洲英才”创业周、“东洲智行”高层次人才洽谈会等人才招引活动。加大高级工、技师以上人才引育力度，实施匠星培育工程，培育一批江苏工匠。制定更加包容开放的青年人才政策，扩大“521”东洲青年英才培养工程覆盖面，推进“百校千企万岗”青年人才集聚计划，实施“团聚东洲”青年人才集聚工程和“青创东洲”职业提升工程。</w:t>
      </w:r>
      <w:r>
        <w:rPr>
          <w:rFonts w:cs="Times New Roman"/>
          <w:highlight w:val="none"/>
        </w:rPr>
        <w:t>培育招引一批“</w:t>
      </w:r>
      <w:r>
        <w:rPr>
          <w:rFonts w:hint="eastAsia" w:cs="Times New Roman"/>
          <w:highlight w:val="none"/>
          <w:lang w:eastAsia="zh-CN"/>
        </w:rPr>
        <w:t>科学家</w:t>
      </w:r>
      <w:r>
        <w:rPr>
          <w:rFonts w:cs="Times New Roman"/>
          <w:highlight w:val="none"/>
        </w:rPr>
        <w:t>+工程师+企业家”复合型人才，探索建设产</w:t>
      </w:r>
      <w:r>
        <w:rPr>
          <w:rFonts w:cs="Times New Roman"/>
        </w:rPr>
        <w:t>业教授工作室。完善人才评价机制，深化用人主体“举荐配额制”，提高企业职称评定、技能等级评价、人才项目举荐、人才分类认定等自主权，畅通人才职业发展通道。探索设立区级高层次人才编制“周转池”，保障“急需紧缺”人才编制需求。“十五五”期间，引进高层次创新创业人才项目125个左右，每年入选市级以上人才计划20名。</w:t>
      </w:r>
    </w:p>
    <w:tbl>
      <w:tblPr>
        <w:tblStyle w:val="2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60"/>
      </w:tblGrid>
      <w:tr w14:paraId="36F1BB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60" w:type="dxa"/>
          </w:tcPr>
          <w:p w14:paraId="1356B4AE">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eastAsia="黑体" w:cs="Times New Roman"/>
              </w:rPr>
            </w:pPr>
            <w:r>
              <w:rPr>
                <w:rFonts w:eastAsia="黑体" w:cs="Times New Roman"/>
                <w:sz w:val="24"/>
                <w:szCs w:val="21"/>
              </w:rPr>
              <w:t>专栏6  青年人才招引培育重点</w:t>
            </w:r>
          </w:p>
          <w:p w14:paraId="005E2658">
            <w:pPr>
              <w:keepNext w:val="0"/>
              <w:keepLines w:val="0"/>
              <w:pageBreakBefore w:val="0"/>
              <w:widowControl w:val="0"/>
              <w:kinsoku/>
              <w:wordWrap/>
              <w:overflowPunct/>
              <w:topLinePunct w:val="0"/>
              <w:autoSpaceDE/>
              <w:autoSpaceDN/>
              <w:bidi w:val="0"/>
              <w:adjustRightInd/>
              <w:snapToGrid/>
              <w:spacing w:line="400" w:lineRule="exact"/>
              <w:ind w:firstLine="480"/>
              <w:textAlignment w:val="auto"/>
              <w:rPr>
                <w:rFonts w:eastAsia="方正仿宋_GBK" w:cs="Times New Roman"/>
                <w:sz w:val="24"/>
                <w:szCs w:val="21"/>
              </w:rPr>
            </w:pPr>
            <w:r>
              <w:rPr>
                <w:rFonts w:hint="default" w:ascii="Times New Roman" w:hAnsi="Times New Roman" w:eastAsia="仿宋_GB2312" w:cs="Times New Roman"/>
                <w:sz w:val="24"/>
                <w:szCs w:val="21"/>
              </w:rPr>
              <w:t>推进“百校千企万岗”青年人才集聚计划，持续开展“东洲雁归”大学生寒暑期社会实践、“高校学生看海门”“东洲智行”巡回引才等系列活动，高品质打造留创基地等平台，每年提供“东洲雁归”见习（实习）岗位800个以上。搭建青年科创平台，创新实施东洲英才“种子”计划，办好“创青春”“海智杯”“海创杯”“东洲智荟”等大型创新创业比赛（路演）。开展“工匠人才培育对象”遴选，深入推进匠星培育工程。</w:t>
            </w:r>
          </w:p>
        </w:tc>
      </w:tr>
    </w:tbl>
    <w:p w14:paraId="72A40367">
      <w:pPr>
        <w:rPr>
          <w:rFonts w:cs="Times New Roman"/>
        </w:rPr>
        <w:sectPr>
          <w:pgSz w:w="11906" w:h="16838"/>
          <w:pgMar w:top="1814" w:right="1531" w:bottom="1984" w:left="1531" w:header="510" w:footer="1474" w:gutter="0"/>
          <w:cols w:space="0" w:num="1"/>
          <w:docGrid w:type="lines" w:linePitch="312" w:charSpace="0"/>
        </w:sectPr>
      </w:pPr>
      <w:bookmarkStart w:id="299" w:name="_Toc8276"/>
      <w:bookmarkStart w:id="300" w:name="_Toc14324"/>
      <w:bookmarkStart w:id="301" w:name="_Toc29221"/>
      <w:bookmarkStart w:id="302" w:name="_Toc12419"/>
      <w:bookmarkStart w:id="303" w:name="_Toc20385"/>
      <w:bookmarkStart w:id="304" w:name="_Toc21840"/>
      <w:bookmarkStart w:id="305" w:name="_Toc26352"/>
      <w:bookmarkStart w:id="306" w:name="_Toc24741"/>
      <w:bookmarkStart w:id="307" w:name="_Toc6419"/>
    </w:p>
    <w:p w14:paraId="192373AB">
      <w:pPr>
        <w:pStyle w:val="2"/>
        <w:rPr>
          <w:rFonts w:ascii="Times New Roman" w:hAnsi="Times New Roman" w:cs="Times New Roman"/>
        </w:rPr>
      </w:pPr>
      <w:bookmarkStart w:id="308" w:name="_Toc28264"/>
      <w:bookmarkStart w:id="309" w:name="_Toc10442"/>
      <w:bookmarkStart w:id="310" w:name="_Toc11654"/>
      <w:bookmarkStart w:id="311" w:name="_Toc23118"/>
      <w:bookmarkStart w:id="312" w:name="_Toc9922"/>
      <w:r>
        <w:rPr>
          <w:rFonts w:ascii="Times New Roman" w:hAnsi="Times New Roman" w:cs="Times New Roman"/>
        </w:rPr>
        <w:t>第五章  突出跨江融合向海图强  塑造江强海兴发展新格局</w:t>
      </w:r>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p>
    <w:p w14:paraId="0019144F">
      <w:pPr>
        <w:rPr>
          <w:rFonts w:cs="Times New Roman"/>
        </w:rPr>
      </w:pPr>
      <w:r>
        <w:rPr>
          <w:rFonts w:cs="Times New Roman"/>
        </w:rPr>
        <w:t>坚持陆海统筹、江海联动、跨江融合，以高质量跨江融合、高水平区域互联、高效率江海联动为重点，加速释放海门综合交通枢纽优势，全面提升与上海同城一体发展水平，提升向海发展能级，塑造江强海兴发展新格局。</w:t>
      </w:r>
    </w:p>
    <w:p w14:paraId="5D2CBC1E">
      <w:pPr>
        <w:pStyle w:val="3"/>
        <w:rPr>
          <w:rFonts w:ascii="Times New Roman" w:hAnsi="Times New Roman" w:cs="Times New Roman"/>
        </w:rPr>
      </w:pPr>
      <w:bookmarkStart w:id="313" w:name="_Toc19382"/>
      <w:bookmarkStart w:id="314" w:name="_Toc22828"/>
      <w:bookmarkStart w:id="315" w:name="_Toc6564"/>
      <w:bookmarkStart w:id="316" w:name="_Toc22402"/>
      <w:bookmarkStart w:id="317" w:name="_Toc25482"/>
      <w:bookmarkStart w:id="318" w:name="_Toc19531"/>
      <w:bookmarkStart w:id="319" w:name="_Toc28040"/>
      <w:bookmarkStart w:id="320" w:name="_Toc14087"/>
      <w:bookmarkStart w:id="321" w:name="_Toc15198"/>
      <w:bookmarkStart w:id="322" w:name="_Toc10190"/>
      <w:bookmarkStart w:id="323" w:name="_Toc12444"/>
      <w:bookmarkStart w:id="324" w:name="_Toc2493"/>
      <w:bookmarkStart w:id="325" w:name="_Toc13952"/>
      <w:bookmarkStart w:id="326" w:name="_Toc9051"/>
      <w:r>
        <w:rPr>
          <w:rFonts w:ascii="Times New Roman" w:hAnsi="Times New Roman" w:cs="Times New Roman"/>
        </w:rPr>
        <w:t>第一节  塑造“江海门户”交通枢纽优势</w:t>
      </w:r>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p>
    <w:p w14:paraId="1839A531">
      <w:pPr>
        <w:rPr>
          <w:rFonts w:cs="Times New Roman"/>
        </w:rPr>
      </w:pPr>
      <w:r>
        <w:rPr>
          <w:rFonts w:eastAsia="楷体_GB2312" w:cs="Times New Roman"/>
        </w:rPr>
        <w:t>完善综合交通立体网络。</w:t>
      </w:r>
      <w:r>
        <w:rPr>
          <w:rFonts w:cs="Times New Roman"/>
        </w:rPr>
        <w:t>策应南通全国性综合交通枢纽城市建设，畅通海门对外交通体系，加快构建“江海河”互联互通、“公铁水”多式联运、“海陆空”协同发展的综合立体交通网络，实现10分钟穿越长江直达苏南、30分钟对接上海核心区。加快多层次轨道交通网络建设，服务保障北沿江高铁等重大项目建成投用，深化如通苏湖城际铁路、沪通城际铁路等方案研究，力争在建城市群城际铁路实现“零”的突破。完善公路网络通达能力，建成海太长江隧道、通常高速通州至海门段等重大项目，推动G40沪陕高速海门至平潮段扩建工程，有序开展崇海通道前期研究。深度融入“水运江苏”，推进沿江沿海港口进港航道建设，完善连通江海的内河航道网，完成新江海河、通吕运河、东灶新河等高等级航道整治工程。探索构建低空飞行服务保障体系，初步建立与周边主要城市间的低空航线。到2030年，新增高速公路里程约23公里（含3处互通），建设低空航空器起降场（点）15个。</w:t>
      </w:r>
    </w:p>
    <w:p w14:paraId="76830531">
      <w:pPr>
        <w:rPr>
          <w:rFonts w:cs="Times New Roman"/>
        </w:rPr>
      </w:pPr>
      <w:r>
        <w:rPr>
          <w:rFonts w:eastAsia="楷体_GB2312" w:cs="Times New Roman"/>
        </w:rPr>
        <w:t>加快建设“四港联动”综合枢纽体系。</w:t>
      </w:r>
      <w:r>
        <w:rPr>
          <w:rFonts w:cs="Times New Roman"/>
        </w:rPr>
        <w:t>配合推动南通新机场建设，深化机场快线、江海快线等前期研究，加快与上海浦东、虹桥机场一体化协同发展，共建上海国际航空枢纽。加快海门北站综合交通枢纽建设，推动海门北站与机场一体化设计，实现“空铁联运、站城一体”，打造空铁联运枢纽。提升沿江沿海港口服务能级，积极策应上海国际航运中心建设，加快通海三期码头等工程建设，力争启动东灶港闸及其联络航道工程，同步规划提升内河作业区，整合内河岸线。到2030年，沿江、沿海2万吨级以上泊位分别达14个、20个。</w:t>
      </w:r>
    </w:p>
    <w:p w14:paraId="1B6B1214">
      <w:pPr>
        <w:rPr>
          <w:rFonts w:cs="Times New Roman"/>
        </w:rPr>
      </w:pPr>
      <w:r>
        <w:rPr>
          <w:rFonts w:eastAsia="楷体_GB2312" w:cs="Times New Roman"/>
        </w:rPr>
        <w:t>提升城市内部交通通达性。</w:t>
      </w:r>
      <w:r>
        <w:rPr>
          <w:rFonts w:cs="Times New Roman"/>
        </w:rPr>
        <w:t>提升全区“八横十纵”主干路网，有序推动228国道、222省道改扩建等国省干线公路建设，积极稳妥推进上海路东延、民生路南北延等主次干道延伸，新建城市道路约25公里，基本实现各区镇10分钟上高速、20分钟至空铁枢纽、30分钟抵海门城区。深化“四好农村路”建设，重点推进毗邻地区路网互联互通，推进乡村道路提档升级，攻坚农村危旧桥梁、公路下穿铁路通道等瓶颈类交通节点。积极发展商务快线、旅游快线、高峰通勤班车、定制公交等特色公交服务模式，增强公交服务能力。深化推进城乡交通运输基础设施、客运服务、货运物流服务一体化，以点带面提升城乡交通公共服务均等化水平。</w:t>
      </w:r>
    </w:p>
    <w:tbl>
      <w:tblPr>
        <w:tblStyle w:val="2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60"/>
      </w:tblGrid>
      <w:tr w14:paraId="2DBE2C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60" w:type="dxa"/>
          </w:tcPr>
          <w:p w14:paraId="75A144AE">
            <w:pPr>
              <w:pStyle w:val="13"/>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eastAsia="黑体"/>
                <w:sz w:val="24"/>
                <w:szCs w:val="32"/>
              </w:rPr>
            </w:pPr>
            <w:r>
              <w:rPr>
                <w:rFonts w:eastAsia="黑体"/>
                <w:sz w:val="24"/>
                <w:szCs w:val="32"/>
              </w:rPr>
              <w:t>专栏7  重点交通基础设施项目</w:t>
            </w:r>
          </w:p>
          <w:p w14:paraId="46D4C8FD">
            <w:pPr>
              <w:pStyle w:val="13"/>
              <w:keepNext w:val="0"/>
              <w:keepLines w:val="0"/>
              <w:pageBreakBefore w:val="0"/>
              <w:widowControl w:val="0"/>
              <w:kinsoku/>
              <w:wordWrap/>
              <w:overflowPunct/>
              <w:topLinePunct w:val="0"/>
              <w:autoSpaceDE/>
              <w:autoSpaceDN/>
              <w:bidi w:val="0"/>
              <w:adjustRightInd/>
              <w:snapToGrid/>
              <w:spacing w:line="340" w:lineRule="exact"/>
              <w:ind w:left="0" w:leftChars="0" w:firstLine="480" w:firstLineChars="200"/>
              <w:textAlignment w:val="auto"/>
              <w:rPr>
                <w:rFonts w:hint="eastAsia" w:ascii="仿宋_GB2312" w:hAnsi="仿宋_GB2312" w:eastAsia="仿宋_GB2312" w:cs="仿宋_GB2312"/>
                <w:sz w:val="24"/>
                <w:szCs w:val="32"/>
              </w:rPr>
            </w:pPr>
            <w:r>
              <w:rPr>
                <w:rFonts w:eastAsia="楷体_GB2312"/>
                <w:sz w:val="24"/>
                <w:szCs w:val="32"/>
              </w:rPr>
              <w:t>铁路项目。</w:t>
            </w:r>
            <w:r>
              <w:rPr>
                <w:rFonts w:hint="eastAsia" w:ascii="仿宋_GB2312" w:hAnsi="仿宋_GB2312" w:eastAsia="仿宋_GB2312" w:cs="仿宋_GB2312"/>
                <w:sz w:val="24"/>
                <w:szCs w:val="32"/>
              </w:rPr>
              <w:t>建成北沿江高铁（海门段）。</w:t>
            </w:r>
          </w:p>
          <w:p w14:paraId="6C2F5C76">
            <w:pPr>
              <w:pStyle w:val="13"/>
              <w:keepNext w:val="0"/>
              <w:keepLines w:val="0"/>
              <w:pageBreakBefore w:val="0"/>
              <w:widowControl w:val="0"/>
              <w:kinsoku/>
              <w:wordWrap/>
              <w:overflowPunct/>
              <w:topLinePunct w:val="0"/>
              <w:autoSpaceDE/>
              <w:autoSpaceDN/>
              <w:bidi w:val="0"/>
              <w:adjustRightInd/>
              <w:snapToGrid/>
              <w:spacing w:line="340" w:lineRule="exact"/>
              <w:ind w:left="0" w:leftChars="0" w:firstLine="480" w:firstLineChars="200"/>
              <w:textAlignment w:val="auto"/>
              <w:rPr>
                <w:rFonts w:hint="default" w:ascii="Times New Roman" w:hAnsi="Times New Roman" w:eastAsia="仿宋_GB2312" w:cs="Times New Roman"/>
                <w:sz w:val="24"/>
                <w:szCs w:val="32"/>
              </w:rPr>
            </w:pPr>
            <w:r>
              <w:rPr>
                <w:rFonts w:eastAsia="楷体_GB2312"/>
                <w:sz w:val="24"/>
                <w:szCs w:val="32"/>
              </w:rPr>
              <w:t>公路项目。</w:t>
            </w:r>
            <w:r>
              <w:rPr>
                <w:rFonts w:hint="default" w:ascii="Times New Roman" w:hAnsi="Times New Roman" w:eastAsia="仿宋_GB2312" w:cs="Times New Roman"/>
                <w:sz w:val="24"/>
                <w:szCs w:val="32"/>
              </w:rPr>
              <w:t>建成海太长江隧道、通州湾至常熟高速公路通州至海门段、228国道下穿高铁节点工程、222省道下穿高铁节点工程、港西路南延下穿高铁节点工程、瑞江路下穿高铁节点工程等项目，推进G40沪陕高速海门至平潮段扩建工程建设，推进上海路东延、民生路南北延、香港路东延等城市道路建设。</w:t>
            </w:r>
          </w:p>
          <w:p w14:paraId="6FFB10CD">
            <w:pPr>
              <w:pStyle w:val="13"/>
              <w:keepNext w:val="0"/>
              <w:keepLines w:val="0"/>
              <w:pageBreakBefore w:val="0"/>
              <w:widowControl w:val="0"/>
              <w:kinsoku/>
              <w:wordWrap/>
              <w:overflowPunct/>
              <w:topLinePunct w:val="0"/>
              <w:autoSpaceDE/>
              <w:autoSpaceDN/>
              <w:bidi w:val="0"/>
              <w:adjustRightInd/>
              <w:snapToGrid/>
              <w:spacing w:line="340" w:lineRule="exact"/>
              <w:ind w:left="0" w:leftChars="0" w:firstLine="480" w:firstLineChars="200"/>
              <w:textAlignment w:val="auto"/>
              <w:rPr>
                <w:rFonts w:hint="default" w:ascii="Times New Roman" w:hAnsi="Times New Roman" w:eastAsia="仿宋_GB2312" w:cs="Times New Roman"/>
                <w:sz w:val="24"/>
                <w:szCs w:val="32"/>
              </w:rPr>
            </w:pPr>
            <w:r>
              <w:rPr>
                <w:rFonts w:eastAsia="楷体_GB2312"/>
                <w:sz w:val="24"/>
                <w:szCs w:val="32"/>
              </w:rPr>
              <w:t>航道项目。</w:t>
            </w:r>
            <w:r>
              <w:rPr>
                <w:rFonts w:hint="default" w:ascii="Times New Roman" w:hAnsi="Times New Roman" w:eastAsia="仿宋_GB2312" w:cs="Times New Roman"/>
                <w:sz w:val="24"/>
                <w:szCs w:val="32"/>
              </w:rPr>
              <w:t>建成通海港区</w:t>
            </w:r>
            <w:r>
              <w:rPr>
                <w:rFonts w:hint="eastAsia" w:ascii="Times New Roman" w:hAnsi="Times New Roman" w:eastAsia="仿宋_GB2312" w:cs="Times New Roman"/>
                <w:sz w:val="24"/>
                <w:szCs w:val="32"/>
                <w:lang w:eastAsia="zh-CN"/>
              </w:rPr>
              <w:t>—</w:t>
            </w:r>
            <w:r>
              <w:rPr>
                <w:rFonts w:hint="default" w:ascii="Times New Roman" w:hAnsi="Times New Roman" w:eastAsia="仿宋_GB2312" w:cs="Times New Roman"/>
                <w:sz w:val="24"/>
                <w:szCs w:val="32"/>
              </w:rPr>
              <w:t>通州湾港区疏港航道整治工程、通扬线通吕运河航道整治工程，推进东灶港通海船闸可行性研究。</w:t>
            </w:r>
          </w:p>
          <w:p w14:paraId="0DC08515">
            <w:pPr>
              <w:pStyle w:val="13"/>
              <w:keepNext w:val="0"/>
              <w:keepLines w:val="0"/>
              <w:pageBreakBefore w:val="0"/>
              <w:widowControl w:val="0"/>
              <w:kinsoku/>
              <w:wordWrap/>
              <w:overflowPunct/>
              <w:topLinePunct w:val="0"/>
              <w:autoSpaceDE/>
              <w:autoSpaceDN/>
              <w:bidi w:val="0"/>
              <w:adjustRightInd/>
              <w:snapToGrid/>
              <w:spacing w:line="340" w:lineRule="exact"/>
              <w:ind w:left="0" w:leftChars="0" w:firstLine="480" w:firstLineChars="200"/>
              <w:textAlignment w:val="auto"/>
              <w:rPr>
                <w:rFonts w:eastAsia="方正黑体_GBK"/>
                <w:sz w:val="24"/>
                <w:szCs w:val="32"/>
              </w:rPr>
            </w:pPr>
            <w:r>
              <w:rPr>
                <w:rFonts w:eastAsia="楷体_GB2312"/>
                <w:sz w:val="24"/>
                <w:szCs w:val="32"/>
              </w:rPr>
              <w:t>交通枢纽项目。</w:t>
            </w:r>
            <w:r>
              <w:rPr>
                <w:rFonts w:hint="default" w:ascii="Times New Roman" w:hAnsi="Times New Roman" w:eastAsia="仿宋_GB2312" w:cs="Times New Roman"/>
                <w:sz w:val="24"/>
                <w:szCs w:val="32"/>
              </w:rPr>
              <w:t>重点推进南通新机场、海门北站及其综合枢纽、海门通用机场等建设。加快沿海东灶港作业区5万吨级通用码头一期工程和振江新能源码头报批建设，推动沿江招商局重工5#码头工程开工建设，推进通海三期码头工程、通州湾港区海门作业区5万吨级通用泊位和2万吨级重件泊位建设，适时开展中天5万吨级码头减载靠泊7万吨散货船业务。</w:t>
            </w:r>
          </w:p>
        </w:tc>
      </w:tr>
    </w:tbl>
    <w:p w14:paraId="73C99AD2">
      <w:pPr>
        <w:pStyle w:val="3"/>
        <w:bidi w:val="0"/>
      </w:pPr>
      <w:bookmarkStart w:id="327" w:name="_Toc21740"/>
      <w:bookmarkStart w:id="328" w:name="_Toc9277"/>
      <w:bookmarkStart w:id="329" w:name="_Toc9716"/>
      <w:bookmarkStart w:id="330" w:name="_Toc29460"/>
      <w:bookmarkStart w:id="331" w:name="_Toc9473"/>
      <w:bookmarkStart w:id="332" w:name="_Toc10877"/>
      <w:bookmarkStart w:id="333" w:name="_Toc4916"/>
      <w:bookmarkStart w:id="334" w:name="_Toc19995"/>
      <w:bookmarkStart w:id="335" w:name="_Toc10112"/>
      <w:bookmarkStart w:id="336" w:name="_Toc32727"/>
      <w:bookmarkStart w:id="337" w:name="_Toc19239"/>
      <w:bookmarkStart w:id="338" w:name="_Toc2843"/>
      <w:bookmarkStart w:id="339" w:name="_Toc12805"/>
      <w:bookmarkStart w:id="340" w:name="_Toc9690"/>
      <w:r>
        <w:t>第二节  完善内外开放、城乡互融的现代流通体系</w:t>
      </w:r>
      <w:bookmarkEnd w:id="327"/>
      <w:bookmarkEnd w:id="328"/>
      <w:bookmarkEnd w:id="329"/>
      <w:bookmarkEnd w:id="330"/>
      <w:bookmarkEnd w:id="331"/>
      <w:bookmarkEnd w:id="332"/>
      <w:bookmarkEnd w:id="333"/>
      <w:bookmarkEnd w:id="334"/>
      <w:bookmarkEnd w:id="335"/>
      <w:bookmarkEnd w:id="336"/>
      <w:bookmarkEnd w:id="337"/>
      <w:bookmarkEnd w:id="338"/>
      <w:bookmarkEnd w:id="339"/>
      <w:bookmarkEnd w:id="340"/>
    </w:p>
    <w:p w14:paraId="18456F24">
      <w:pPr>
        <w:rPr>
          <w:rFonts w:cs="Times New Roman"/>
        </w:rPr>
      </w:pPr>
      <w:r>
        <w:rPr>
          <w:rFonts w:eastAsia="楷体_GB2312" w:cs="Times New Roman"/>
        </w:rPr>
        <w:t>构建现代物流产业体系</w:t>
      </w:r>
      <w:r>
        <w:rPr>
          <w:rFonts w:cs="Times New Roman"/>
        </w:rPr>
        <w:t>。建设沿江临港、沿海临港、空铁枢纽、叠石桥等四大物流片区，以海门开发区、三星镇为承载地，推进港口型、商贸服务型国家物流枢纽建设，推动通海港区、叠石桥和深国际等物流园区功能升级和业务协同。强化物流枢纽与产业园区、城市配送网络有效对接，提升区域物流资源整合能力和集散效率。畅通城乡物流末端循环网络，深入推进城市绿色货运配送，深化交邮融合发展，大力发展农村物流，推进农村物流服务点建设。引进国内外优质物流企业设立区域运营中心，发展定制化、专业化物流服务，支持国企和龙头企业拓展多式联运业务，提升供应链一体化服务能力。</w:t>
      </w:r>
    </w:p>
    <w:tbl>
      <w:tblPr>
        <w:tblStyle w:val="2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60"/>
      </w:tblGrid>
      <w:tr w14:paraId="44095A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60" w:type="dxa"/>
          </w:tcPr>
          <w:p w14:paraId="3AC56D81">
            <w:pPr>
              <w:pStyle w:val="13"/>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eastAsia="黑体"/>
                <w:sz w:val="24"/>
                <w:szCs w:val="32"/>
              </w:rPr>
            </w:pPr>
            <w:r>
              <w:rPr>
                <w:rFonts w:eastAsia="黑体"/>
                <w:sz w:val="24"/>
                <w:szCs w:val="32"/>
              </w:rPr>
              <w:t>专栏8  四大物流片区建设</w:t>
            </w:r>
          </w:p>
          <w:p w14:paraId="4306B4E5">
            <w:pPr>
              <w:pStyle w:val="13"/>
              <w:keepNext w:val="0"/>
              <w:keepLines w:val="0"/>
              <w:pageBreakBefore w:val="0"/>
              <w:widowControl w:val="0"/>
              <w:kinsoku/>
              <w:wordWrap/>
              <w:overflowPunct/>
              <w:topLinePunct w:val="0"/>
              <w:autoSpaceDE/>
              <w:autoSpaceDN/>
              <w:bidi w:val="0"/>
              <w:adjustRightInd/>
              <w:snapToGrid/>
              <w:spacing w:line="400" w:lineRule="exact"/>
              <w:ind w:left="0" w:leftChars="0" w:firstLine="480" w:firstLineChars="200"/>
              <w:textAlignment w:val="auto"/>
              <w:rPr>
                <w:rFonts w:hint="eastAsia" w:ascii="仿宋_GB2312" w:hAnsi="仿宋_GB2312" w:eastAsia="仿宋_GB2312" w:cs="仿宋_GB2312"/>
                <w:sz w:val="24"/>
              </w:rPr>
            </w:pPr>
            <w:r>
              <w:rPr>
                <w:rFonts w:eastAsia="楷体_GB2312"/>
                <w:sz w:val="24"/>
              </w:rPr>
              <w:t>沿江临港物流集聚片区。</w:t>
            </w:r>
            <w:r>
              <w:rPr>
                <w:rFonts w:hint="eastAsia" w:ascii="仿宋_GB2312" w:hAnsi="仿宋_GB2312" w:eastAsia="仿宋_GB2312" w:cs="仿宋_GB2312"/>
                <w:sz w:val="24"/>
              </w:rPr>
              <w:t>以通海港区为核心，吸引内外贸集装箱航运、铁路白货运输、江海河联运等业态集聚。</w:t>
            </w:r>
          </w:p>
          <w:p w14:paraId="73569685">
            <w:pPr>
              <w:pStyle w:val="13"/>
              <w:keepNext w:val="0"/>
              <w:keepLines w:val="0"/>
              <w:pageBreakBefore w:val="0"/>
              <w:widowControl w:val="0"/>
              <w:kinsoku/>
              <w:wordWrap/>
              <w:overflowPunct/>
              <w:topLinePunct w:val="0"/>
              <w:autoSpaceDE/>
              <w:autoSpaceDN/>
              <w:bidi w:val="0"/>
              <w:adjustRightInd/>
              <w:snapToGrid/>
              <w:spacing w:line="400" w:lineRule="exact"/>
              <w:ind w:left="0" w:leftChars="0" w:firstLine="480" w:firstLineChars="200"/>
              <w:textAlignment w:val="auto"/>
              <w:rPr>
                <w:rFonts w:hint="eastAsia" w:ascii="仿宋_GB2312" w:hAnsi="仿宋_GB2312" w:eastAsia="仿宋_GB2312" w:cs="仿宋_GB2312"/>
                <w:sz w:val="24"/>
              </w:rPr>
            </w:pPr>
            <w:r>
              <w:rPr>
                <w:rFonts w:eastAsia="楷体_GB2312"/>
                <w:sz w:val="24"/>
              </w:rPr>
              <w:t>沿海临港物流集聚片区。</w:t>
            </w:r>
            <w:r>
              <w:rPr>
                <w:rFonts w:hint="eastAsia" w:ascii="仿宋_GB2312" w:hAnsi="仿宋_GB2312" w:eastAsia="仿宋_GB2312" w:cs="仿宋_GB2312"/>
                <w:sz w:val="24"/>
              </w:rPr>
              <w:t>以通州湾港区海门港作业区为核心，吸引大宗物资海（河）运、铁路运输、保税物流、物贸交易等业态集聚。</w:t>
            </w:r>
          </w:p>
          <w:p w14:paraId="5BD96AA5">
            <w:pPr>
              <w:pStyle w:val="13"/>
              <w:keepNext w:val="0"/>
              <w:keepLines w:val="0"/>
              <w:pageBreakBefore w:val="0"/>
              <w:widowControl w:val="0"/>
              <w:kinsoku/>
              <w:wordWrap/>
              <w:overflowPunct/>
              <w:topLinePunct w:val="0"/>
              <w:autoSpaceDE/>
              <w:autoSpaceDN/>
              <w:bidi w:val="0"/>
              <w:adjustRightInd/>
              <w:snapToGrid/>
              <w:spacing w:line="400" w:lineRule="exact"/>
              <w:ind w:left="0" w:leftChars="0" w:firstLine="480" w:firstLineChars="200"/>
              <w:textAlignment w:val="auto"/>
              <w:rPr>
                <w:rFonts w:hint="eastAsia" w:ascii="仿宋_GB2312" w:hAnsi="仿宋_GB2312" w:eastAsia="仿宋_GB2312" w:cs="仿宋_GB2312"/>
                <w:sz w:val="24"/>
              </w:rPr>
            </w:pPr>
            <w:r>
              <w:rPr>
                <w:rFonts w:eastAsia="楷体_GB2312"/>
                <w:sz w:val="24"/>
              </w:rPr>
              <w:t>空铁枢纽物流集聚片区。</w:t>
            </w:r>
            <w:r>
              <w:rPr>
                <w:rFonts w:hint="eastAsia" w:ascii="仿宋_GB2312" w:hAnsi="仿宋_GB2312" w:eastAsia="仿宋_GB2312" w:cs="仿宋_GB2312"/>
                <w:sz w:val="24"/>
              </w:rPr>
              <w:t>以南通新机场、海门北站为核心，协同规划空港物流功能区，吸引航空快递分拨集散、高铁快运、保税物流等业态集聚。</w:t>
            </w:r>
          </w:p>
          <w:p w14:paraId="3EDD1F5F">
            <w:pPr>
              <w:pStyle w:val="13"/>
              <w:keepNext w:val="0"/>
              <w:keepLines w:val="0"/>
              <w:pageBreakBefore w:val="0"/>
              <w:widowControl w:val="0"/>
              <w:kinsoku/>
              <w:wordWrap/>
              <w:overflowPunct/>
              <w:topLinePunct w:val="0"/>
              <w:autoSpaceDE/>
              <w:autoSpaceDN/>
              <w:bidi w:val="0"/>
              <w:adjustRightInd/>
              <w:snapToGrid/>
              <w:spacing w:line="400" w:lineRule="exact"/>
              <w:ind w:left="0" w:leftChars="0" w:firstLine="480" w:firstLineChars="200"/>
              <w:textAlignment w:val="auto"/>
              <w:rPr>
                <w:rFonts w:eastAsia="方正黑体_GBK"/>
                <w:sz w:val="24"/>
                <w:szCs w:val="32"/>
              </w:rPr>
            </w:pPr>
            <w:r>
              <w:rPr>
                <w:rFonts w:eastAsia="楷体_GB2312"/>
                <w:sz w:val="24"/>
              </w:rPr>
              <w:t>叠石桥商贸物流片区</w:t>
            </w:r>
            <w:r>
              <w:rPr>
                <w:rFonts w:hint="eastAsia" w:ascii="仿宋_GB2312" w:hAnsi="仿宋_GB2312" w:eastAsia="仿宋_GB2312" w:cs="仿宋_GB2312"/>
                <w:sz w:val="24"/>
              </w:rPr>
              <w:t>。以叠石桥国际家纺城为核心，推动公路商贸物流升级发展，完善叠石桥集拼中心、国际供应链采购中心等物流设施。</w:t>
            </w:r>
          </w:p>
        </w:tc>
      </w:tr>
    </w:tbl>
    <w:p w14:paraId="35EC40E9">
      <w:pPr>
        <w:bidi w:val="0"/>
      </w:pPr>
      <w:r>
        <w:rPr>
          <w:rFonts w:eastAsia="楷体_GB2312" w:cs="Times New Roman"/>
        </w:rPr>
        <w:t>调整优化货物运输结构。</w:t>
      </w:r>
      <w:r>
        <w:t>完善多式联运集疏运体系，探索“江海河、公铁水”多式联运线路。打通海门至苏南、上海铁路货运通道，加快推进铁路专用线进入港口堆场、物流园区、工矿企业，构建“疏港</w:t>
      </w:r>
      <w:r>
        <w:rPr>
          <w:rFonts w:hint="eastAsia"/>
          <w:lang w:eastAsia="zh-CN"/>
        </w:rPr>
        <w:t>—</w:t>
      </w:r>
      <w:r>
        <w:t>宁启</w:t>
      </w:r>
      <w:r>
        <w:rPr>
          <w:rFonts w:hint="eastAsia"/>
          <w:lang w:eastAsia="zh-CN"/>
        </w:rPr>
        <w:t>—</w:t>
      </w:r>
      <w:r>
        <w:t>洋吕铁路串联、沿江通海港区</w:t>
      </w:r>
      <w:r>
        <w:rPr>
          <w:rFonts w:hint="eastAsia"/>
          <w:lang w:eastAsia="zh-CN"/>
        </w:rPr>
        <w:t>—</w:t>
      </w:r>
      <w:r>
        <w:t>沿海通州湾港区循环”等铁路货运通道，推进洋吕铁路东灶港站大宗商贸物流基地、疏港铁路通海港站提质改造，完善铁路货场配套设施。依托港口、铁路场站、物流园区等建设大宗散货混配和接卸中转基地，适时启动东灶港数字化多式联运中心建设。推动货物运输“公转铁”“公转水”，实现水路货物运输周转量增长15%、铁路货运量增长30%。推动货物全程“一次委托、一单到底、一次结算”，鼓励建设集装箱提还箱点，探索推动“一单制”“一箱制”创新发展。</w:t>
      </w:r>
    </w:p>
    <w:p w14:paraId="43830276">
      <w:pPr>
        <w:bidi w:val="0"/>
      </w:pPr>
      <w:r>
        <w:rPr>
          <w:rFonts w:eastAsia="楷体_GB2312" w:cs="Times New Roman"/>
        </w:rPr>
        <w:t>提质发展枢纽经济。</w:t>
      </w:r>
      <w:r>
        <w:t>培育壮大港口枢纽经济，进一步推动新材料、现代物流、能源等港口偏好型产业向沿江沿海港口周边集聚，谋划通海港区、内河港口作业区等后方产业园区，打造沿江承载重特大临港项目的战略新平台，引导大宗货物需求企业和现代物流等产业向新江海河、通吕河、通启河等内河腹地集聚。超前谋划空港枢纽经济发展，配合南通规划研究南通新机场临空经济区，拓展空运全链路服务，推动跨境电商、航空快递、冷链生鲜、电子信息、生物医药等航空偏好型产业集群化发展，探索打造上海大飞机产业重要配套基地。依托港口型、商贸服务型国家物流枢纽，集聚物流枢纽偏好型产业，探索建设与产业深度融合的物流枢纽经济区。</w:t>
      </w:r>
    </w:p>
    <w:p w14:paraId="14023E37">
      <w:pPr>
        <w:pStyle w:val="3"/>
        <w:rPr>
          <w:rFonts w:ascii="Times New Roman" w:hAnsi="Times New Roman" w:cs="Times New Roman"/>
        </w:rPr>
      </w:pPr>
      <w:bookmarkStart w:id="341" w:name="_Toc4510"/>
      <w:bookmarkStart w:id="342" w:name="_Toc9994"/>
      <w:bookmarkStart w:id="343" w:name="_Toc10848"/>
      <w:bookmarkStart w:id="344" w:name="_Toc30124"/>
      <w:bookmarkStart w:id="345" w:name="_Toc26916"/>
      <w:bookmarkStart w:id="346" w:name="_Toc19534"/>
      <w:bookmarkStart w:id="347" w:name="_Toc31793"/>
      <w:bookmarkStart w:id="348" w:name="_Toc29699"/>
      <w:bookmarkStart w:id="349" w:name="_Toc2650"/>
      <w:bookmarkStart w:id="350" w:name="_Toc1517"/>
      <w:bookmarkStart w:id="351" w:name="_Toc23303"/>
      <w:bookmarkStart w:id="352" w:name="_Toc32515"/>
      <w:bookmarkStart w:id="353" w:name="_Toc18907"/>
      <w:bookmarkStart w:id="354" w:name="_Toc10398"/>
      <w:r>
        <w:rPr>
          <w:rFonts w:ascii="Times New Roman" w:hAnsi="Times New Roman" w:cs="Times New Roman"/>
        </w:rPr>
        <w:t>第三节  发展富有江海特色的现代海洋产业</w:t>
      </w:r>
      <w:bookmarkEnd w:id="341"/>
      <w:bookmarkEnd w:id="342"/>
      <w:bookmarkEnd w:id="343"/>
      <w:bookmarkEnd w:id="344"/>
      <w:bookmarkEnd w:id="345"/>
      <w:bookmarkEnd w:id="346"/>
      <w:bookmarkEnd w:id="347"/>
      <w:bookmarkEnd w:id="348"/>
      <w:bookmarkEnd w:id="349"/>
      <w:bookmarkEnd w:id="350"/>
      <w:bookmarkEnd w:id="351"/>
      <w:bookmarkEnd w:id="352"/>
      <w:bookmarkEnd w:id="353"/>
      <w:bookmarkEnd w:id="354"/>
    </w:p>
    <w:p w14:paraId="35197330">
      <w:pPr>
        <w:rPr>
          <w:rFonts w:cs="Times New Roman"/>
        </w:rPr>
      </w:pPr>
      <w:r>
        <w:rPr>
          <w:rFonts w:eastAsia="楷体_GB2312" w:cs="Times New Roman"/>
        </w:rPr>
        <w:t>系统谋划全域向海发展蓝图。</w:t>
      </w:r>
      <w:r>
        <w:rPr>
          <w:rFonts w:cs="Times New Roman"/>
        </w:rPr>
        <w:t>坚持“全区皆沿海”全局思维，主动融入南通海洋产业高质量发展先行区建设，聚焦“沿江创新”深化创新协同、“沿海制造”加快布局完善，推动海洋产业做大做强。支持海门港经开区充分发挥沿海岸线资源优势，加快临港现代产业、集疏运物流体系建设，打造南通海洋经济重要增长极。支持海门开发区加快临港类重大项目引进，持续提升对南通船舶海工国家级先进制造业集群的贡献度。支持海门高新区加快发展海洋药物和生物制品产业。推动各区镇拓展海洋产业发展腹地，打造重要的配套基地。</w:t>
      </w:r>
    </w:p>
    <w:p w14:paraId="2C64BC8D">
      <w:pPr>
        <w:rPr>
          <w:rFonts w:cs="Times New Roman"/>
        </w:rPr>
      </w:pPr>
      <w:r>
        <w:rPr>
          <w:rFonts w:eastAsia="楷体_GB2312" w:cs="Times New Roman"/>
        </w:rPr>
        <w:t>推进海洋产业强链补链延链。</w:t>
      </w:r>
      <w:r>
        <w:rPr>
          <w:rFonts w:cs="Times New Roman"/>
        </w:rPr>
        <w:t>支持临港产业与海洋产业协同发展，推动绿色精品钢高端化、绿色化发展，发展石化新材料、绿色环保材料等临港高端新材料。做精做优高技术船舶和海洋工程装备产业，积极培育海上制氢、海上光伏、深远海养殖、海水淡化利用、海洋能源开采利用等海洋新型装备研发制造。深耕海洋风电装备制造业细分赛道，打造集研发设计、检验测试、风力发电、输变电装备制造等环节于一体的海上风电产业链。培育海洋药物和生物制品，争取在海洋创新药及仿制药、海洋化妆品原料及高端化妆品、海洋特色功能食品等细分领域形成特色。</w:t>
      </w:r>
    </w:p>
    <w:p w14:paraId="2FA224F8">
      <w:pPr>
        <w:rPr>
          <w:rFonts w:cs="Times New Roman"/>
          <w:szCs w:val="32"/>
        </w:rPr>
      </w:pPr>
      <w:r>
        <w:rPr>
          <w:rFonts w:eastAsia="楷体_GB2312" w:cs="Times New Roman"/>
        </w:rPr>
        <w:t>强化海洋服务业配套支撑</w:t>
      </w:r>
      <w:r>
        <w:rPr>
          <w:rFonts w:cs="Times New Roman"/>
          <w:szCs w:val="32"/>
        </w:rPr>
        <w:t>。补齐涉海生产性服务业短板，重点发展船舶海工船型研发设计、风电叶片检验检测认证、海上风电运维、航运服务。加快发展海洋信息服务业，依托海洋相关科研院所，在船舶水运、海洋环境保护、海洋资源利用等领域开展产业化落地研究和推广应用。加快海洋渔业一二三产融合发展，积极发展海洋休闲渔业，做深做精“渔业+工业+旅游”文章。</w:t>
      </w:r>
    </w:p>
    <w:p w14:paraId="7A711D53">
      <w:pPr>
        <w:rPr>
          <w:rFonts w:cs="Times New Roman"/>
        </w:rPr>
      </w:pPr>
      <w:r>
        <w:rPr>
          <w:rFonts w:eastAsia="楷体_GB2312" w:cs="Times New Roman"/>
        </w:rPr>
        <w:t>筑牢海洋科技人才支撑。</w:t>
      </w:r>
      <w:r>
        <w:rPr>
          <w:rFonts w:cs="Times New Roman"/>
        </w:rPr>
        <w:t>积极布局海洋人工智能、深海研究与技术开发等前沿领域，培育壮大海洋新质生产力。围绕概念验证、孵化转化、中试熟化等环节建好海洋功能性创新平台，支持设立海洋产业研发机构、公共技术服务平台，加强与省内高等级涉海创新平台合作，争取来海设立分支机构或试验基地。提升海上风电叶片测试平台国际影响力，推动风电叶片测试平台IEC（国际电工委员会认可资质）资质认定。加快集聚海洋产业人才，鼓励海门中专等院校定制化培养海洋产业领域紧缺的高技能和职业技术人才。</w:t>
      </w:r>
    </w:p>
    <w:p w14:paraId="607EF42F">
      <w:pPr>
        <w:pStyle w:val="3"/>
        <w:rPr>
          <w:rFonts w:ascii="Times New Roman" w:hAnsi="Times New Roman" w:cs="Times New Roman"/>
        </w:rPr>
      </w:pPr>
      <w:bookmarkStart w:id="355" w:name="_Toc22415"/>
      <w:bookmarkStart w:id="356" w:name="_Toc31826"/>
      <w:bookmarkStart w:id="357" w:name="_Toc24720"/>
      <w:bookmarkStart w:id="358" w:name="_Toc7172"/>
      <w:bookmarkStart w:id="359" w:name="_Toc19216"/>
      <w:bookmarkStart w:id="360" w:name="_Toc18866"/>
      <w:bookmarkStart w:id="361" w:name="_Toc10386"/>
      <w:bookmarkStart w:id="362" w:name="_Toc26512"/>
      <w:bookmarkStart w:id="363" w:name="_Toc27459"/>
      <w:bookmarkStart w:id="364" w:name="_Toc22594"/>
      <w:bookmarkStart w:id="365" w:name="_Toc5351"/>
      <w:bookmarkStart w:id="366" w:name="_Toc1673"/>
      <w:bookmarkStart w:id="367" w:name="_Toc1628"/>
      <w:bookmarkStart w:id="368" w:name="_Toc11920"/>
      <w:r>
        <w:rPr>
          <w:rFonts w:ascii="Times New Roman" w:hAnsi="Times New Roman" w:cs="Times New Roman"/>
        </w:rPr>
        <w:t>第四节  深度融入上海大都市圈</w:t>
      </w:r>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p>
    <w:p w14:paraId="016A92CF">
      <w:pPr>
        <w:rPr>
          <w:rFonts w:cs="Times New Roman"/>
        </w:rPr>
      </w:pPr>
      <w:r>
        <w:rPr>
          <w:rFonts w:eastAsia="楷体_GB2312" w:cs="Times New Roman"/>
        </w:rPr>
        <w:t>打造多层次对沪合作平台。</w:t>
      </w:r>
      <w:r>
        <w:rPr>
          <w:rFonts w:cs="Times New Roman"/>
        </w:rPr>
        <w:t>加强政府部门、商会协会、研究机构等多层次对沪交流合作，拓展海门对沪宣传渠道，常态化举办各类沪海合作交流活动，促进产业、创新、服务、规划等多领域协同，更好打造一体化通勤圈、经济圈、科创圈、生活圈、共治圈。加强与上海大都市圈协商工作组等机构沟通，主动对接上海大都市圈国土空间规划，推动与上海各类规划充分衔接。加强与虹口、临港、崇明等重点板块对接，依托南通新机场、北沿江高铁等基础设施优势，加快和上海的一体协同发展，共建跨江合作产业园。</w:t>
      </w:r>
      <w:bookmarkStart w:id="369" w:name="_Hlk215666228"/>
      <w:r>
        <w:rPr>
          <w:rFonts w:hint="eastAsia" w:ascii="仿宋_GB2312" w:hAnsi="仿宋_GB2312" w:eastAsia="仿宋_GB2312" w:cs="仿宋_GB2312"/>
          <w:color w:val="auto"/>
        </w:rPr>
        <w:t>积极融入长江口产业创新绿色发展协同区</w:t>
      </w:r>
      <w:bookmarkEnd w:id="369"/>
      <w:r>
        <w:rPr>
          <w:rFonts w:hint="eastAsia" w:ascii="仿宋_GB2312" w:hAnsi="仿宋_GB2312" w:eastAsia="仿宋_GB2312" w:cs="仿宋_GB2312"/>
        </w:rPr>
        <w:t>、</w:t>
      </w:r>
      <w:r>
        <w:rPr>
          <w:rFonts w:cs="Times New Roman"/>
        </w:rPr>
        <w:t>“嘉昆太”</w:t>
      </w:r>
      <w:r>
        <w:rPr>
          <w:rFonts w:cs="Times New Roman"/>
          <w:lang w:bidi="ar"/>
        </w:rPr>
        <w:t>协同创新核心圈建设，</w:t>
      </w:r>
      <w:r>
        <w:rPr>
          <w:rFonts w:cs="Times New Roman"/>
        </w:rPr>
        <w:t>构建区域发展“共同体”。</w:t>
      </w:r>
    </w:p>
    <w:p w14:paraId="708EB99B">
      <w:pPr>
        <w:rPr>
          <w:rFonts w:cs="Times New Roman"/>
        </w:rPr>
      </w:pPr>
      <w:r>
        <w:rPr>
          <w:rFonts w:eastAsia="楷体_GB2312" w:cs="Times New Roman"/>
        </w:rPr>
        <w:t>全面对接上海“五个中心”建设。</w:t>
      </w:r>
      <w:r>
        <w:rPr>
          <w:rFonts w:cs="Times New Roman"/>
        </w:rPr>
        <w:t>推动产业合作从配套承接向链群协同跃升，深度融入上海生物医药、集成电路、船舶海工、大飞机、新能源汽车等优势产业集群建设，推动与上海产业链智能协同，提升供应链响应能力，打造上海主导产业配套基地。</w:t>
      </w:r>
      <w:r>
        <w:rPr>
          <w:rFonts w:cs="Times New Roman"/>
          <w:lang w:bidi="ar"/>
        </w:rPr>
        <w:t>推动科创合作从载体建设向生态构建转变，抢抓上海（长三角）国际科技创新中心建设机遇，探索“上海定方向、海门促转化”深度协同模式，促进创新合作平台从单一的异地研发转向双向赋能</w:t>
      </w:r>
      <w:r>
        <w:rPr>
          <w:rFonts w:cs="Times New Roman"/>
        </w:rPr>
        <w:t>。探索沪海人才“双向飞地”模式，建立人才平行认定机制、人才共享平台，实现人才信息互通、资格互认、职称互评。积极承接上海金融服务、商务服务功能外溢，提升跨区域融资便利度，打造服务实体经济的沪海金融走廊。构建沪海协同的高效能政策服务，深化政务服务“跨省通办”，创新跨省“一件事”集成服务、“免申即享”。</w:t>
      </w:r>
    </w:p>
    <w:tbl>
      <w:tblPr>
        <w:tblStyle w:val="2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60"/>
      </w:tblGrid>
      <w:tr w14:paraId="0ABB4F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60" w:type="dxa"/>
          </w:tcPr>
          <w:p w14:paraId="2E73682C">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eastAsia="黑体" w:cs="Times New Roman"/>
                <w:sz w:val="24"/>
                <w:szCs w:val="21"/>
              </w:rPr>
            </w:pPr>
            <w:r>
              <w:rPr>
                <w:rFonts w:eastAsia="黑体" w:cs="Times New Roman"/>
                <w:sz w:val="24"/>
                <w:szCs w:val="21"/>
              </w:rPr>
              <w:t>专栏9  对接上海“五个中心”建设重点路径</w:t>
            </w:r>
          </w:p>
          <w:p w14:paraId="1C701E8D">
            <w:pPr>
              <w:keepNext w:val="0"/>
              <w:keepLines w:val="0"/>
              <w:pageBreakBefore w:val="0"/>
              <w:widowControl w:val="0"/>
              <w:kinsoku/>
              <w:wordWrap/>
              <w:overflowPunct/>
              <w:topLinePunct w:val="0"/>
              <w:autoSpaceDE/>
              <w:autoSpaceDN/>
              <w:bidi w:val="0"/>
              <w:adjustRightInd/>
              <w:snapToGrid/>
              <w:spacing w:line="360" w:lineRule="exact"/>
              <w:ind w:firstLine="480"/>
              <w:textAlignment w:val="auto"/>
              <w:rPr>
                <w:rFonts w:hint="default" w:ascii="Times New Roman" w:hAnsi="Times New Roman" w:eastAsia="仿宋_GB2312" w:cs="Times New Roman"/>
                <w:sz w:val="24"/>
                <w:szCs w:val="21"/>
              </w:rPr>
            </w:pPr>
            <w:r>
              <w:rPr>
                <w:rFonts w:eastAsia="楷体_GB2312" w:cs="Times New Roman"/>
                <w:sz w:val="24"/>
                <w:szCs w:val="21"/>
              </w:rPr>
              <w:t>深度嵌入上海产业链条。</w:t>
            </w:r>
            <w:r>
              <w:rPr>
                <w:rFonts w:hint="default" w:ascii="Times New Roman" w:hAnsi="Times New Roman" w:eastAsia="仿宋_GB2312" w:cs="Times New Roman"/>
                <w:sz w:val="24"/>
                <w:szCs w:val="21"/>
              </w:rPr>
              <w:t>深入研究上海生物医药、集成电路、大飞机、人工智能、新能源汽车等重点产业集群，瞄准上海土地成本敏感且与海门基础匹配的环节，打造上海产业配套基地。分析上海龙头企业采购链，积极招引各级供应商落户海门。探索园区共建、招商引资协作等合作模式，构建“基地+拓展区”“总部+协同中心”“总装+配套”“投资合作+品牌合作”等互惠协同路径。支持本地企业接入上海行业级工业互联网平台，在订单、产能、品控等方面，实现与上海龙头企业数字化协同。</w:t>
            </w:r>
          </w:p>
          <w:p w14:paraId="1450D467">
            <w:pPr>
              <w:keepNext w:val="0"/>
              <w:keepLines w:val="0"/>
              <w:pageBreakBefore w:val="0"/>
              <w:widowControl w:val="0"/>
              <w:kinsoku/>
              <w:wordWrap/>
              <w:overflowPunct/>
              <w:topLinePunct w:val="0"/>
              <w:autoSpaceDE/>
              <w:autoSpaceDN/>
              <w:bidi w:val="0"/>
              <w:adjustRightInd/>
              <w:snapToGrid/>
              <w:spacing w:line="360" w:lineRule="exact"/>
              <w:ind w:firstLine="480" w:firstLineChars="0"/>
              <w:textAlignment w:val="auto"/>
              <w:rPr>
                <w:rFonts w:cs="Times New Roman"/>
                <w:sz w:val="24"/>
                <w:szCs w:val="21"/>
                <w:lang w:bidi="ar"/>
              </w:rPr>
            </w:pPr>
            <w:r>
              <w:rPr>
                <w:rFonts w:eastAsia="楷体_GB2312" w:cs="Times New Roman"/>
                <w:sz w:val="24"/>
                <w:szCs w:val="21"/>
              </w:rPr>
              <w:t>合力构建“研发</w:t>
            </w:r>
            <w:r>
              <w:rPr>
                <w:rFonts w:hint="eastAsia" w:eastAsia="楷体_GB2312" w:cs="Times New Roman"/>
                <w:sz w:val="24"/>
                <w:szCs w:val="21"/>
                <w:lang w:eastAsia="zh-CN"/>
              </w:rPr>
              <w:t>—</w:t>
            </w:r>
            <w:r>
              <w:rPr>
                <w:rFonts w:eastAsia="楷体_GB2312" w:cs="Times New Roman"/>
                <w:sz w:val="24"/>
                <w:szCs w:val="21"/>
              </w:rPr>
              <w:t>孵化</w:t>
            </w:r>
            <w:r>
              <w:rPr>
                <w:rFonts w:hint="eastAsia" w:eastAsia="楷体_GB2312" w:cs="Times New Roman"/>
                <w:sz w:val="24"/>
                <w:szCs w:val="21"/>
                <w:lang w:eastAsia="zh-CN"/>
              </w:rPr>
              <w:t>—</w:t>
            </w:r>
            <w:r>
              <w:rPr>
                <w:rFonts w:eastAsia="楷体_GB2312" w:cs="Times New Roman"/>
                <w:sz w:val="24"/>
                <w:szCs w:val="21"/>
              </w:rPr>
              <w:t>产业化”创新闭环</w:t>
            </w:r>
            <w:r>
              <w:rPr>
                <w:rFonts w:eastAsia="楷体_GB2312" w:cs="Times New Roman"/>
                <w:sz w:val="24"/>
                <w:szCs w:val="21"/>
                <w:lang w:bidi="ar"/>
              </w:rPr>
              <w:t>。</w:t>
            </w:r>
            <w:r>
              <w:rPr>
                <w:rFonts w:hint="default" w:ascii="Times New Roman" w:hAnsi="Times New Roman" w:eastAsia="仿宋_GB2312" w:cs="Times New Roman"/>
                <w:sz w:val="24"/>
                <w:szCs w:val="21"/>
              </w:rPr>
              <w:t>加强与张江、杨浦等创新资源密集区域交流合作，对接上海集成电路研发中心、上海合成生物学创新中心等研发机构，全覆盖开展在沪名校、名院（所）敲门行动，与上海高校院所建立常态化、制度化合作机制，抓住高校所属企业划转机遇，争取打造上海高校海门产业园，设立上海高端医疗器械创新中心海门分中心和上海市肿瘤介入治疗协同创新中心海门分中心。</w:t>
            </w:r>
          </w:p>
          <w:p w14:paraId="7BF12A56">
            <w:pPr>
              <w:keepNext w:val="0"/>
              <w:keepLines w:val="0"/>
              <w:pageBreakBefore w:val="0"/>
              <w:widowControl w:val="0"/>
              <w:kinsoku/>
              <w:wordWrap/>
              <w:overflowPunct/>
              <w:topLinePunct w:val="0"/>
              <w:autoSpaceDE/>
              <w:autoSpaceDN/>
              <w:bidi w:val="0"/>
              <w:adjustRightInd/>
              <w:snapToGrid/>
              <w:spacing w:line="360" w:lineRule="exact"/>
              <w:ind w:firstLine="480" w:firstLineChars="0"/>
              <w:textAlignment w:val="auto"/>
              <w:rPr>
                <w:rFonts w:hint="default" w:ascii="Times New Roman" w:hAnsi="Times New Roman" w:eastAsia="仿宋_GB2312" w:cs="Times New Roman"/>
                <w:sz w:val="24"/>
                <w:szCs w:val="21"/>
              </w:rPr>
            </w:pPr>
            <w:r>
              <w:rPr>
                <w:rFonts w:eastAsia="楷体_GB2312" w:cs="Times New Roman"/>
                <w:sz w:val="24"/>
                <w:szCs w:val="21"/>
                <w:lang w:bidi="ar"/>
              </w:rPr>
              <w:t>承接上海金融服务、商务服务功能外溢。</w:t>
            </w:r>
            <w:r>
              <w:rPr>
                <w:rFonts w:hint="default" w:ascii="Times New Roman" w:hAnsi="Times New Roman" w:eastAsia="仿宋_GB2312" w:cs="Times New Roman"/>
                <w:sz w:val="24"/>
                <w:szCs w:val="21"/>
              </w:rPr>
              <w:t>吸引更多金融、会计、法律等机构来海落户。提升跨区域融资便利度，吸引上海股权投资机构在海门设立分支机构或产业基金，推动沪海两地金融机构开展跨区域业务协作，为海门企业赴上海上市提供精准辅导，打造服务实体经济的沪海金融走廊。</w:t>
            </w:r>
          </w:p>
          <w:p w14:paraId="6DF22AE9">
            <w:pPr>
              <w:keepNext w:val="0"/>
              <w:keepLines w:val="0"/>
              <w:pageBreakBefore w:val="0"/>
              <w:widowControl w:val="0"/>
              <w:kinsoku/>
              <w:wordWrap/>
              <w:overflowPunct/>
              <w:topLinePunct w:val="0"/>
              <w:autoSpaceDE/>
              <w:autoSpaceDN/>
              <w:bidi w:val="0"/>
              <w:adjustRightInd/>
              <w:snapToGrid/>
              <w:spacing w:line="360" w:lineRule="exact"/>
              <w:ind w:firstLine="480" w:firstLineChars="0"/>
              <w:textAlignment w:val="auto"/>
              <w:rPr>
                <w:rFonts w:hint="default" w:ascii="Times New Roman" w:hAnsi="Times New Roman" w:eastAsia="仿宋_GB2312" w:cs="Times New Roman"/>
                <w:sz w:val="24"/>
                <w:szCs w:val="21"/>
              </w:rPr>
            </w:pPr>
            <w:r>
              <w:rPr>
                <w:rFonts w:eastAsia="楷体_GB2312" w:cs="Times New Roman"/>
                <w:sz w:val="24"/>
                <w:szCs w:val="21"/>
                <w:lang w:bidi="ar"/>
              </w:rPr>
              <w:t>策应上海国际航运中心建设。</w:t>
            </w:r>
            <w:r>
              <w:rPr>
                <w:rFonts w:hint="default" w:ascii="Times New Roman" w:hAnsi="Times New Roman" w:eastAsia="仿宋_GB2312" w:cs="Times New Roman"/>
                <w:sz w:val="24"/>
                <w:szCs w:val="21"/>
              </w:rPr>
              <w:t>充分发挥江海岸线、港口优势，全面增强港口物流服务功能，重点发展港口物流和港航服务等涉海服务业。加快整合港口资源，积极拓展通海港区江海联运业务。以海门开发区、海门港经开区为重要承载地，加快通海三期码头工程、二港池5万吨级通用码头一期工程、振江风电项目配套码头报批建设，扎实推进沿海、沿江、内河关键节点工程。</w:t>
            </w:r>
          </w:p>
          <w:p w14:paraId="7E652EA4">
            <w:pPr>
              <w:keepNext w:val="0"/>
              <w:keepLines w:val="0"/>
              <w:pageBreakBefore w:val="0"/>
              <w:widowControl w:val="0"/>
              <w:kinsoku/>
              <w:wordWrap/>
              <w:overflowPunct/>
              <w:topLinePunct w:val="0"/>
              <w:autoSpaceDE/>
              <w:autoSpaceDN/>
              <w:bidi w:val="0"/>
              <w:adjustRightInd/>
              <w:snapToGrid/>
              <w:spacing w:line="360" w:lineRule="exact"/>
              <w:ind w:firstLine="480" w:firstLineChars="0"/>
              <w:textAlignment w:val="auto"/>
              <w:rPr>
                <w:rFonts w:cs="Times New Roman"/>
                <w:sz w:val="24"/>
                <w:szCs w:val="21"/>
                <w:lang w:bidi="ar"/>
              </w:rPr>
            </w:pPr>
            <w:r>
              <w:rPr>
                <w:rFonts w:eastAsia="楷体_GB2312" w:cs="Times New Roman"/>
                <w:sz w:val="24"/>
                <w:szCs w:val="21"/>
                <w:lang w:bidi="ar"/>
              </w:rPr>
              <w:t>构建沪海协同的高效能政策服务。</w:t>
            </w:r>
            <w:r>
              <w:rPr>
                <w:rFonts w:hint="default" w:ascii="Times New Roman" w:hAnsi="Times New Roman" w:eastAsia="仿宋_GB2312" w:cs="Times New Roman"/>
                <w:sz w:val="24"/>
                <w:szCs w:val="21"/>
              </w:rPr>
              <w:t>全面对标上海，在市场准入、产品标准、科技成果转化、人才评定、知识产权保护等领域实现与上海政策充分协同，深化政务服务“跨省通办”，创新跨省“一件事”集成服务、“免申即享”，与上海相关板块构建数据共享交换体系。</w:t>
            </w:r>
          </w:p>
        </w:tc>
      </w:tr>
    </w:tbl>
    <w:p w14:paraId="4EE4C593">
      <w:pPr>
        <w:keepNext w:val="0"/>
        <w:keepLines w:val="0"/>
        <w:pageBreakBefore w:val="0"/>
        <w:widowControl w:val="0"/>
        <w:kinsoku/>
        <w:wordWrap/>
        <w:overflowPunct/>
        <w:topLinePunct w:val="0"/>
        <w:autoSpaceDE/>
        <w:autoSpaceDN/>
        <w:bidi w:val="0"/>
        <w:adjustRightInd/>
        <w:snapToGrid/>
        <w:spacing w:line="240" w:lineRule="exact"/>
        <w:textAlignment w:val="auto"/>
        <w:rPr>
          <w:rFonts w:eastAsia="楷体_GB2312" w:cs="Times New Roman"/>
        </w:rPr>
      </w:pPr>
    </w:p>
    <w:p w14:paraId="397C7278">
      <w:pPr>
        <w:rPr>
          <w:rFonts w:cs="Times New Roman"/>
        </w:rPr>
      </w:pPr>
      <w:r>
        <w:rPr>
          <w:rFonts w:eastAsia="楷体_GB2312" w:cs="Times New Roman"/>
        </w:rPr>
        <w:t>共建异地同城的高品质生活圈。</w:t>
      </w:r>
      <w:r>
        <w:rPr>
          <w:rFonts w:cs="Times New Roman"/>
        </w:rPr>
        <w:t>加强教育、医疗、康养、文化等服务领域合作，营造与上海同城同质的生活休闲环境，</w:t>
      </w:r>
      <w:r>
        <w:rPr>
          <w:rFonts w:hint="eastAsia" w:cs="Times New Roman"/>
        </w:rPr>
        <w:t>推动</w:t>
      </w:r>
      <w:r>
        <w:rPr>
          <w:rFonts w:cs="Times New Roman"/>
        </w:rPr>
        <w:t>“工作在上海、生活在海门”双城生活新范式，构建与上海无缝衔接的“第二生活圈”“第二办公地”。深化与上海华山医院、瑞金医院、龙华医院等三甲医院对接，开展远程医疗、专家坐诊等合作，争取在海门设立分院，建好上海高级专家会诊服务中心、上海影像医学研究所海门分中心、上海龙华医院海门肿瘤和骨伤中心等高端平台。发挥海门基础教育优势，探索与上海知名学校共建集团校，吸引上海中小学生源来海门就读，积极引进上海优质国际教育资源。深化社保卡“一卡通”应用，推动在交通出行、旅游观光、文化体验等领域实现“同城待遇”。打响海门电竞、动漫等时尚消费在沪知名度，发挥海门足球优势，与上海在青训培养、技术交流等多方面展开深入合作，探索举办沪海乃至长三角区域的县（市、区）足球赛，以文体特色搭台扩大“朋友圈”。联动崇明世界级生态岛建设，推进“东平</w:t>
      </w:r>
      <w:r>
        <w:rPr>
          <w:rFonts w:hint="eastAsia" w:cs="Times New Roman"/>
          <w:lang w:eastAsia="zh-CN"/>
        </w:rPr>
        <w:t>—</w:t>
      </w:r>
      <w:r>
        <w:rPr>
          <w:rFonts w:cs="Times New Roman"/>
        </w:rPr>
        <w:t>海永</w:t>
      </w:r>
      <w:r>
        <w:rPr>
          <w:rFonts w:hint="eastAsia" w:cs="Times New Roman"/>
          <w:lang w:eastAsia="zh-CN"/>
        </w:rPr>
        <w:t>—</w:t>
      </w:r>
      <w:r>
        <w:rPr>
          <w:rFonts w:cs="Times New Roman"/>
        </w:rPr>
        <w:t>启隆”城镇圈建设，主动打造崇明岛环岛旅游路线重要节点，合力建设长三角高品质生活优选地。</w:t>
      </w:r>
    </w:p>
    <w:p w14:paraId="764025CE">
      <w:pPr>
        <w:pStyle w:val="3"/>
        <w:rPr>
          <w:rFonts w:ascii="Times New Roman" w:hAnsi="Times New Roman" w:cs="Times New Roman"/>
        </w:rPr>
      </w:pPr>
      <w:bookmarkStart w:id="370" w:name="_Toc29061"/>
      <w:bookmarkStart w:id="371" w:name="_Toc1240"/>
      <w:bookmarkStart w:id="372" w:name="_Toc20829"/>
      <w:bookmarkStart w:id="373" w:name="_Toc24107"/>
      <w:bookmarkStart w:id="374" w:name="_Toc31578"/>
      <w:bookmarkStart w:id="375" w:name="_Toc32189"/>
      <w:bookmarkStart w:id="376" w:name="_Toc28443"/>
      <w:bookmarkStart w:id="377" w:name="_Toc18349"/>
      <w:bookmarkStart w:id="378" w:name="_Toc23493"/>
      <w:bookmarkStart w:id="379" w:name="_Toc22598"/>
      <w:bookmarkStart w:id="380" w:name="_Toc75"/>
      <w:bookmarkStart w:id="381" w:name="_Toc25574"/>
      <w:bookmarkStart w:id="382" w:name="_Toc8714"/>
      <w:bookmarkStart w:id="383" w:name="_Toc18811"/>
      <w:r>
        <w:rPr>
          <w:rFonts w:ascii="Times New Roman" w:hAnsi="Times New Roman" w:cs="Times New Roman"/>
        </w:rPr>
        <w:t>第五节  拓展区域合作空间</w:t>
      </w:r>
      <w:bookmarkEnd w:id="370"/>
      <w:bookmarkEnd w:id="371"/>
      <w:bookmarkEnd w:id="372"/>
      <w:bookmarkEnd w:id="373"/>
      <w:bookmarkEnd w:id="374"/>
      <w:bookmarkEnd w:id="375"/>
      <w:bookmarkEnd w:id="376"/>
      <w:bookmarkEnd w:id="377"/>
      <w:bookmarkEnd w:id="378"/>
      <w:bookmarkEnd w:id="379"/>
      <w:bookmarkEnd w:id="380"/>
      <w:bookmarkEnd w:id="381"/>
      <w:bookmarkEnd w:id="382"/>
      <w:bookmarkEnd w:id="383"/>
    </w:p>
    <w:p w14:paraId="15F7433A">
      <w:pPr>
        <w:rPr>
          <w:rFonts w:cs="Times New Roman"/>
        </w:rPr>
      </w:pPr>
      <w:r>
        <w:rPr>
          <w:rFonts w:eastAsia="楷体_GB2312" w:cs="Times New Roman"/>
        </w:rPr>
        <w:t>加速</w:t>
      </w:r>
      <w:r>
        <w:rPr>
          <w:rFonts w:hint="eastAsia" w:eastAsia="楷体_GB2312" w:cs="Times New Roman"/>
        </w:rPr>
        <w:t>融入</w:t>
      </w:r>
      <w:r>
        <w:rPr>
          <w:rFonts w:eastAsia="楷体_GB2312" w:cs="Times New Roman"/>
        </w:rPr>
        <w:t>南通</w:t>
      </w:r>
      <w:r>
        <w:rPr>
          <w:rFonts w:hint="eastAsia" w:eastAsia="楷体_GB2312" w:cs="Times New Roman"/>
        </w:rPr>
        <w:t>主</w:t>
      </w:r>
      <w:r>
        <w:rPr>
          <w:rFonts w:eastAsia="楷体_GB2312" w:cs="Times New Roman"/>
        </w:rPr>
        <w:t>城。</w:t>
      </w:r>
      <w:r>
        <w:rPr>
          <w:rFonts w:cs="Times New Roman"/>
        </w:rPr>
        <w:t>推动战略、城市、交通、产业、民生等与南通</w:t>
      </w:r>
      <w:r>
        <w:rPr>
          <w:rFonts w:hint="eastAsia" w:cs="Times New Roman"/>
        </w:rPr>
        <w:t>开发区、崇川区</w:t>
      </w:r>
      <w:r>
        <w:rPr>
          <w:rFonts w:cs="Times New Roman"/>
        </w:rPr>
        <w:t>深度对接，全面</w:t>
      </w:r>
      <w:r>
        <w:rPr>
          <w:rFonts w:hint="eastAsia" w:cs="Times New Roman"/>
        </w:rPr>
        <w:t>融入南通主城同城化建设</w:t>
      </w:r>
      <w:r>
        <w:rPr>
          <w:rFonts w:cs="Times New Roman"/>
        </w:rPr>
        <w:t>。紧密对接南通快速路网，构筑南通与海门一体化快速路主骨架，协同推动中部快速路、星湖大道东延等项目落地建设，实现20分钟联通南通</w:t>
      </w:r>
      <w:r>
        <w:rPr>
          <w:rFonts w:hint="eastAsia" w:cs="Times New Roman"/>
        </w:rPr>
        <w:t>崇川区</w:t>
      </w:r>
      <w:r>
        <w:rPr>
          <w:rFonts w:cs="Times New Roman"/>
        </w:rPr>
        <w:t>。主动对接南通现代产业体系建设，在稳定配套、协同创新、产融服务、人才引培等方面加强合作。加强与南通其他县（市、区）交流合作，合力推进长江口产业创新绿色发展协同区建设，加强与南通沿江沿海港口合作。深化与启东战略合作，实现全面协同、深度融合发展，前瞻谋划布局启东西站与海门高新区快速连接线。</w:t>
      </w:r>
    </w:p>
    <w:p w14:paraId="49DAD76B">
      <w:pPr>
        <w:bidi w:val="0"/>
      </w:pPr>
      <w:r>
        <w:rPr>
          <w:rFonts w:eastAsia="楷体_GB2312" w:cs="Times New Roman"/>
        </w:rPr>
        <w:t>积极对接苏南。</w:t>
      </w:r>
      <w:r>
        <w:t>积极策应全省沿江创新发展带、苏南国家自主创新示范区建设，加快与苏南产业链协同、创新链对接和供应链融合，推动跨江融合从“单向承接”向“双向互动”转变。强化产业梯队协作，探索“板块+国企”“总部+基地”“研发+转化”等产业协同模式，努力打造承接苏南创新成果转移集聚区。加快推进跨江融合共建，加强与苏州等地园区开展合作交流，密切与苏南高校院所、科创平台的对接交流，推动优质科创资源落户海门，共建产学研用协同创新基地，打通苏南科技成果向海门转移的快速通道。</w:t>
      </w:r>
    </w:p>
    <w:p w14:paraId="6B870B6B">
      <w:pPr>
        <w:bidi w:val="0"/>
        <w:sectPr>
          <w:pgSz w:w="11906" w:h="16838"/>
          <w:pgMar w:top="1814" w:right="1531" w:bottom="1984" w:left="1531" w:header="510" w:footer="1474" w:gutter="0"/>
          <w:cols w:space="0" w:num="1"/>
          <w:docGrid w:type="lines" w:linePitch="312" w:charSpace="0"/>
        </w:sectPr>
      </w:pPr>
      <w:r>
        <w:rPr>
          <w:rFonts w:eastAsia="楷体_GB2312" w:cs="Times New Roman"/>
        </w:rPr>
        <w:t>更大范围服务国家区域重大战略</w:t>
      </w:r>
      <w:r>
        <w:t>。积极参与长江经济带建设，协同推进长江生态环境保护。加强与京津冀战略对接，积极争取北京大院大所来海设立分支机构，招引央国企来海成立二、三级区域总部或生产基地。积极对接粤港澳大湾区，链接深圳科技生态、香港金融资本等优势资源，支持企业赴港上市。深化对口协作，进一步完善合作机制，落实对口协作合作任务，不断健全产业发展、项目建设、乡村振兴、稳岗就业等常态化交流互动机制。</w:t>
      </w:r>
    </w:p>
    <w:p w14:paraId="36CE0920">
      <w:pPr>
        <w:pStyle w:val="2"/>
        <w:rPr>
          <w:rFonts w:ascii="Times New Roman" w:hAnsi="Times New Roman" w:cs="Times New Roman"/>
        </w:rPr>
      </w:pPr>
      <w:bookmarkStart w:id="384" w:name="_Toc1854"/>
      <w:bookmarkStart w:id="385" w:name="_Toc7906"/>
      <w:bookmarkStart w:id="386" w:name="_Toc13696"/>
      <w:bookmarkStart w:id="387" w:name="_Toc31857"/>
      <w:bookmarkStart w:id="388" w:name="_Toc25634"/>
      <w:bookmarkStart w:id="389" w:name="_Toc24629"/>
      <w:bookmarkStart w:id="390" w:name="_Toc19054"/>
      <w:bookmarkStart w:id="391" w:name="_Toc29747"/>
      <w:bookmarkStart w:id="392" w:name="_Toc5541"/>
      <w:bookmarkStart w:id="393" w:name="_Toc20277"/>
      <w:bookmarkStart w:id="394" w:name="_Toc27256"/>
      <w:bookmarkStart w:id="395" w:name="_Toc10885"/>
      <w:bookmarkStart w:id="396" w:name="_Toc9592"/>
      <w:bookmarkStart w:id="397" w:name="_Toc996"/>
      <w:r>
        <w:rPr>
          <w:rFonts w:ascii="Times New Roman" w:hAnsi="Times New Roman" w:cs="Times New Roman"/>
        </w:rPr>
        <w:t>第六章  统筹扩大内需与高水平开放  激活经济发展强劲引擎</w:t>
      </w:r>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p>
    <w:p w14:paraId="1940D0D7">
      <w:pPr>
        <w:rPr>
          <w:rFonts w:cs="Times New Roman"/>
        </w:rPr>
      </w:pPr>
      <w:bookmarkStart w:id="398" w:name="_Toc18535"/>
      <w:r>
        <w:rPr>
          <w:rFonts w:cs="Times New Roman"/>
        </w:rPr>
        <w:t>用好国内国际两个市场、两种资源，坚持惠民生和促消费、投资于物和投资于人紧密结合，持续扩大有效益的投资、激发有潜能的消费，促进外贸外资稳量提质，在更大范围提升海门资源要素配置能力，拓展经济增长潜力空间。</w:t>
      </w:r>
    </w:p>
    <w:p w14:paraId="66989521">
      <w:pPr>
        <w:pStyle w:val="3"/>
        <w:tabs>
          <w:tab w:val="left" w:pos="1600"/>
        </w:tabs>
        <w:rPr>
          <w:rFonts w:ascii="Times New Roman" w:hAnsi="Times New Roman" w:cs="Times New Roman"/>
        </w:rPr>
      </w:pPr>
      <w:bookmarkStart w:id="399" w:name="_Toc13794"/>
      <w:bookmarkStart w:id="400" w:name="_Toc4553"/>
      <w:bookmarkStart w:id="401" w:name="_Toc9705"/>
      <w:bookmarkStart w:id="402" w:name="_Toc892"/>
      <w:bookmarkStart w:id="403" w:name="_Toc31088"/>
      <w:bookmarkStart w:id="404" w:name="_Toc5914"/>
      <w:bookmarkStart w:id="405" w:name="_Toc27242"/>
      <w:bookmarkStart w:id="406" w:name="_Toc17814"/>
      <w:bookmarkStart w:id="407" w:name="_Toc1305"/>
      <w:bookmarkStart w:id="408" w:name="_Toc1333"/>
      <w:bookmarkStart w:id="409" w:name="_Toc17308"/>
      <w:bookmarkStart w:id="410" w:name="_Toc27565"/>
      <w:bookmarkStart w:id="411" w:name="_Toc32669"/>
      <w:r>
        <w:rPr>
          <w:rFonts w:ascii="Times New Roman" w:hAnsi="Times New Roman" w:cs="Times New Roman"/>
        </w:rPr>
        <w:t>第一节  打响更富生命力的城市消费名片</w:t>
      </w:r>
      <w:bookmarkEnd w:id="398"/>
      <w:bookmarkEnd w:id="399"/>
      <w:bookmarkEnd w:id="400"/>
      <w:bookmarkEnd w:id="401"/>
      <w:bookmarkEnd w:id="402"/>
      <w:bookmarkEnd w:id="403"/>
      <w:bookmarkEnd w:id="404"/>
      <w:bookmarkEnd w:id="405"/>
      <w:bookmarkEnd w:id="406"/>
      <w:bookmarkEnd w:id="407"/>
      <w:bookmarkEnd w:id="408"/>
      <w:bookmarkEnd w:id="409"/>
      <w:bookmarkEnd w:id="410"/>
      <w:bookmarkEnd w:id="411"/>
    </w:p>
    <w:p w14:paraId="069E08B4">
      <w:pPr>
        <w:rPr>
          <w:rFonts w:cs="Times New Roman"/>
          <w:szCs w:val="32"/>
        </w:rPr>
      </w:pPr>
      <w:r>
        <w:rPr>
          <w:rFonts w:eastAsia="楷体_GB2312" w:cs="Times New Roman"/>
          <w:szCs w:val="40"/>
          <w:lang w:bidi="bo-CN"/>
        </w:rPr>
        <w:t>完善多层次消费载体。</w:t>
      </w:r>
      <w:r>
        <w:rPr>
          <w:rFonts w:cs="Times New Roman"/>
          <w:szCs w:val="32"/>
        </w:rPr>
        <w:t>构建层次分明、布局合理、功能完善、特色鲜明的“2+4+N”商业体系。做大主城核心商圈，推动龙信广场、大有境等综合体集聚多元化业态、场景和服务，推动鸿謇广场开业运营，积极打造府南商圈。提升叠石桥家纺城、海门港经开区等乡镇副中心</w:t>
      </w:r>
      <w:r>
        <w:rPr>
          <w:rFonts w:hint="eastAsia" w:ascii="仿宋_GB2312" w:hAnsi="仿宋_GB2312" w:eastAsia="仿宋_GB2312" w:cs="仿宋_GB2312"/>
          <w:szCs w:val="32"/>
        </w:rPr>
        <w:t>商圈能级，鼓励叠石桥家纺城与电商深度融合、拓展市场空间，扩大品牌影响力和市场交易额。推动海门商业步行街、謇公湖商业休闲街、</w:t>
      </w:r>
      <w:r>
        <w:rPr>
          <w:rFonts w:hint="eastAsia" w:ascii="仿宋_GB2312" w:hAnsi="仿宋_GB2312" w:eastAsia="仿宋_GB2312" w:cs="仿宋_GB2312"/>
          <w:szCs w:val="32"/>
          <w:lang w:bidi="ar"/>
        </w:rPr>
        <w:t>解放路商业街、府南文化商业街</w:t>
      </w:r>
      <w:r>
        <w:rPr>
          <w:rFonts w:hint="eastAsia" w:ascii="仿宋_GB2312" w:hAnsi="仿宋_GB2312" w:eastAsia="仿宋_GB2312" w:cs="仿宋_GB2312"/>
          <w:szCs w:val="32"/>
        </w:rPr>
        <w:t>等特色商业街区焕新提档。布局社区商业中心、邻里中心等商业</w:t>
      </w:r>
      <w:r>
        <w:rPr>
          <w:rFonts w:cs="Times New Roman"/>
          <w:szCs w:val="32"/>
        </w:rPr>
        <w:t>网点，推动乡镇商贸中心从“单一购物”向“综合服务”转型，打造“一站式”生活服务节点。推动农贸（集贸）市场改造升级，完善配套设施、改善经营环境、丰富市场业态。到2030年，力争建成“一刻钟便民生活圈”15个，乡镇商贸中心覆盖率达100%。</w:t>
      </w:r>
    </w:p>
    <w:tbl>
      <w:tblPr>
        <w:tblStyle w:val="2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60"/>
      </w:tblGrid>
      <w:tr w14:paraId="667388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60" w:type="dxa"/>
          </w:tcPr>
          <w:p w14:paraId="77C0A293">
            <w:pPr>
              <w:keepNext w:val="0"/>
              <w:keepLines w:val="0"/>
              <w:pageBreakBefore w:val="0"/>
              <w:kinsoku/>
              <w:wordWrap/>
              <w:overflowPunct/>
              <w:topLinePunct w:val="0"/>
              <w:autoSpaceDE/>
              <w:autoSpaceDN/>
              <w:bidi w:val="0"/>
              <w:adjustRightInd/>
              <w:snapToGrid/>
              <w:spacing w:line="400" w:lineRule="exact"/>
              <w:ind w:firstLine="0" w:firstLineChars="0"/>
              <w:jc w:val="center"/>
              <w:textAlignment w:val="auto"/>
              <w:rPr>
                <w:rFonts w:eastAsia="黑体" w:cs="Times New Roman"/>
                <w:sz w:val="24"/>
                <w:szCs w:val="32"/>
              </w:rPr>
            </w:pPr>
            <w:r>
              <w:rPr>
                <w:rFonts w:eastAsia="黑体" w:cs="Times New Roman"/>
                <w:sz w:val="24"/>
                <w:szCs w:val="32"/>
              </w:rPr>
              <w:t>专栏10  “2+4+N”商业体系</w:t>
            </w:r>
          </w:p>
          <w:p w14:paraId="3429E2A8">
            <w:pPr>
              <w:keepNext w:val="0"/>
              <w:keepLines w:val="0"/>
              <w:pageBreakBefore w:val="0"/>
              <w:kinsoku/>
              <w:wordWrap/>
              <w:overflowPunct/>
              <w:topLinePunct w:val="0"/>
              <w:autoSpaceDE/>
              <w:autoSpaceDN/>
              <w:bidi w:val="0"/>
              <w:adjustRightInd/>
              <w:snapToGrid/>
              <w:spacing w:line="400" w:lineRule="exact"/>
              <w:ind w:firstLine="480"/>
              <w:textAlignment w:val="auto"/>
              <w:rPr>
                <w:rFonts w:cs="Times New Roman"/>
              </w:rPr>
            </w:pPr>
            <w:r>
              <w:rPr>
                <w:rFonts w:eastAsia="楷体_GB2312" w:cs="Times New Roman"/>
                <w:sz w:val="24"/>
              </w:rPr>
              <w:t>2个区级核心商圈。</w:t>
            </w:r>
            <w:r>
              <w:rPr>
                <w:rFonts w:cs="Times New Roman"/>
                <w:b/>
                <w:bCs/>
                <w:sz w:val="24"/>
              </w:rPr>
              <w:t>主城核心商圈。</w:t>
            </w:r>
            <w:r>
              <w:rPr>
                <w:rFonts w:cs="Times New Roman"/>
                <w:sz w:val="24"/>
              </w:rPr>
              <w:t>推动鸿謇广场开业运营、引入高端品牌和特色业态。推动文峰大世界进一步升级改造。推动龙信广场强化餐饮、娱乐、休闲功能，打造夜间经济活力区。推动府南商圈打造以商业为核心，商务、金融、居住等功能协同发展的综合性商圈。</w:t>
            </w:r>
            <w:r>
              <w:rPr>
                <w:rFonts w:cs="Times New Roman"/>
                <w:b/>
                <w:bCs/>
                <w:sz w:val="24"/>
              </w:rPr>
              <w:t>乡镇商业副中心商圈。</w:t>
            </w:r>
            <w:r>
              <w:rPr>
                <w:rFonts w:cs="Times New Roman"/>
                <w:sz w:val="24"/>
              </w:rPr>
              <w:t>依托三星叠石桥家纺城，建设以家纺展示、销售、体验为特色的商业副中心商圈，引入品牌总部、设计工作室、高端体验店等，打造全球家纺交易中心。海门港经开区</w:t>
            </w:r>
            <w:r>
              <w:rPr>
                <w:rFonts w:hint="eastAsia" w:cs="Times New Roman"/>
                <w:sz w:val="24"/>
              </w:rPr>
              <w:t>依托</w:t>
            </w:r>
            <w:r>
              <w:rPr>
                <w:rFonts w:cs="Times New Roman"/>
                <w:sz w:val="24"/>
              </w:rPr>
              <w:t>晟通广场，打造服务于产业工人和周边居民的商业副中心商圈，满足日常生活消费、休闲娱乐需求。</w:t>
            </w:r>
          </w:p>
          <w:p w14:paraId="45E9073F">
            <w:pPr>
              <w:keepNext w:val="0"/>
              <w:keepLines w:val="0"/>
              <w:pageBreakBefore w:val="0"/>
              <w:widowControl/>
              <w:kinsoku/>
              <w:wordWrap/>
              <w:overflowPunct/>
              <w:topLinePunct w:val="0"/>
              <w:autoSpaceDE/>
              <w:autoSpaceDN/>
              <w:bidi w:val="0"/>
              <w:adjustRightInd/>
              <w:snapToGrid/>
              <w:spacing w:line="400" w:lineRule="exact"/>
              <w:ind w:firstLine="480" w:firstLineChars="0"/>
              <w:textAlignment w:val="auto"/>
              <w:rPr>
                <w:rFonts w:hint="default" w:ascii="Times New Roman" w:hAnsi="Times New Roman" w:eastAsia="仿宋_GB2312" w:cs="Times New Roman"/>
                <w:sz w:val="24"/>
              </w:rPr>
            </w:pPr>
            <w:r>
              <w:rPr>
                <w:rFonts w:eastAsia="楷体_GB2312" w:cs="Times New Roman"/>
                <w:sz w:val="24"/>
              </w:rPr>
              <w:t>4个特色商业街区。</w:t>
            </w:r>
            <w:r>
              <w:rPr>
                <w:rFonts w:cs="Times New Roman"/>
                <w:b/>
                <w:bCs/>
                <w:sz w:val="24"/>
              </w:rPr>
              <w:t>謇公湖商业休闲街。</w:t>
            </w:r>
            <w:r>
              <w:rPr>
                <w:rFonts w:cs="Times New Roman"/>
                <w:sz w:val="24"/>
              </w:rPr>
              <w:t>围绕謇公湖板块“生态+业态”发展模式，引入酒店、特色书店、创意餐厅、健身中心等业态，规划建设集生活服务、休闲娱乐、文化创意于一体的商业休闲街区。</w:t>
            </w:r>
            <w:r>
              <w:rPr>
                <w:rFonts w:cs="Times New Roman"/>
                <w:b/>
                <w:bCs/>
                <w:sz w:val="24"/>
              </w:rPr>
              <w:t>海门商业步行街。</w:t>
            </w:r>
            <w:r>
              <w:rPr>
                <w:rFonts w:cs="Times New Roman"/>
                <w:sz w:val="24"/>
              </w:rPr>
              <w:t>紧扣“夜海门、烟火气”内核改造建设，以“城市夜景+多元消费”为定位，更好打造海门电视塔灯光夜景地标，升级特色餐饮、潮流服饰、休闲娱乐等多元业态，打造海门城市夜经济商业名片。</w:t>
            </w:r>
            <w:r>
              <w:rPr>
                <w:rFonts w:hint="eastAsia" w:ascii="仿宋_GB2312" w:hAnsi="仿宋_GB2312" w:eastAsia="仿宋_GB2312" w:cs="仿宋_GB2312"/>
                <w:b/>
                <w:bCs/>
                <w:sz w:val="24"/>
              </w:rPr>
              <w:t>解放路商业街。</w:t>
            </w:r>
            <w:r>
              <w:rPr>
                <w:rFonts w:hint="eastAsia" w:ascii="仿宋_GB2312" w:hAnsi="仿宋_GB2312" w:eastAsia="仿宋_GB2312" w:cs="仿宋_GB2312"/>
                <w:sz w:val="24"/>
              </w:rPr>
              <w:t>推动解放路商业街整体改造提升，优化商业业态与招商布局。引入休闲体验、文化创意等业态，复兴传统商业氛围，提升街区文化内涵与消费品质。</w:t>
            </w:r>
            <w:r>
              <w:rPr>
                <w:rFonts w:hint="eastAsia" w:ascii="仿宋_GB2312" w:hAnsi="仿宋_GB2312" w:eastAsia="仿宋_GB2312" w:cs="仿宋_GB2312"/>
                <w:b/>
                <w:bCs/>
                <w:sz w:val="24"/>
              </w:rPr>
              <w:t>府南文化商业街。</w:t>
            </w:r>
            <w:r>
              <w:rPr>
                <w:rFonts w:hint="default" w:ascii="Times New Roman" w:hAnsi="Times New Roman" w:eastAsia="仿宋_GB2312" w:cs="Times New Roman"/>
                <w:sz w:val="24"/>
              </w:rPr>
              <w:t>建设大型商业综合体和购物中心，引入知名品牌首店、沉浸式娱乐空间、网红餐饮集群等年轻化、高品质业态，嵌入公共艺术装置、live house音乐现场等互动场景，打造辐射全域的青年潮流消费地标。</w:t>
            </w:r>
          </w:p>
          <w:p w14:paraId="17C7C8EA">
            <w:pPr>
              <w:keepNext w:val="0"/>
              <w:keepLines w:val="0"/>
              <w:pageBreakBefore w:val="0"/>
              <w:kinsoku/>
              <w:wordWrap/>
              <w:overflowPunct/>
              <w:topLinePunct w:val="0"/>
              <w:autoSpaceDE/>
              <w:autoSpaceDN/>
              <w:bidi w:val="0"/>
              <w:adjustRightInd/>
              <w:snapToGrid/>
              <w:spacing w:line="400" w:lineRule="exact"/>
              <w:ind w:firstLine="480"/>
              <w:textAlignment w:val="auto"/>
              <w:rPr>
                <w:rFonts w:cs="Times New Roman"/>
                <w:szCs w:val="32"/>
              </w:rPr>
            </w:pPr>
            <w:r>
              <w:rPr>
                <w:rFonts w:eastAsia="楷体_GB2312" w:cs="Times New Roman"/>
                <w:sz w:val="24"/>
              </w:rPr>
              <w:t>N个社区商业网点。</w:t>
            </w:r>
            <w:r>
              <w:rPr>
                <w:rFonts w:cs="Times New Roman"/>
                <w:sz w:val="24"/>
              </w:rPr>
              <w:t>按照“一刻钟便民生活圈”标准，推动社区商业中心配备生鲜超市、便利店、药店、洗衣店、理发店等基本生活服务业态。鼓励社区商业中心引入无人便利店等智能设施，发展线上线下一体的配送服务，提升服务效率和便利性。</w:t>
            </w:r>
          </w:p>
        </w:tc>
      </w:tr>
    </w:tbl>
    <w:p w14:paraId="7942F29B">
      <w:pPr>
        <w:keepNext w:val="0"/>
        <w:keepLines w:val="0"/>
        <w:pageBreakBefore w:val="0"/>
        <w:widowControl w:val="0"/>
        <w:kinsoku/>
        <w:wordWrap/>
        <w:overflowPunct/>
        <w:topLinePunct w:val="0"/>
        <w:autoSpaceDE/>
        <w:autoSpaceDN/>
        <w:bidi w:val="0"/>
        <w:adjustRightInd/>
        <w:snapToGrid/>
        <w:spacing w:line="240" w:lineRule="exact"/>
        <w:textAlignment w:val="auto"/>
        <w:rPr>
          <w:rFonts w:eastAsia="楷体_GB2312" w:cs="Times New Roman"/>
          <w:szCs w:val="40"/>
          <w:lang w:bidi="bo-CN"/>
        </w:rPr>
      </w:pPr>
    </w:p>
    <w:p w14:paraId="18622590">
      <w:pPr>
        <w:rPr>
          <w:rFonts w:cs="Times New Roman"/>
          <w:kern w:val="0"/>
          <w:szCs w:val="32"/>
          <w:lang w:bidi="ar"/>
        </w:rPr>
      </w:pPr>
      <w:r>
        <w:rPr>
          <w:rFonts w:eastAsia="楷体_GB2312" w:cs="Times New Roman"/>
          <w:szCs w:val="40"/>
          <w:lang w:bidi="bo-CN"/>
        </w:rPr>
        <w:t>推动商品消费扩容升级。</w:t>
      </w:r>
      <w:r>
        <w:rPr>
          <w:rFonts w:cs="Times New Roman"/>
          <w:kern w:val="0"/>
          <w:szCs w:val="32"/>
          <w:lang w:bidi="ar"/>
        </w:rPr>
        <w:t>打响“海门造”日用消费品知名度，做优做特家纺服装、健康食品、保健品、杯壶、颐生酒、红木工艺品等特色消费品产业，支持发展定制经济，在产品开发中引入国潮、动漫、电竞、潮玩等消费元素。强化汽车、家电、家居家装等传统消费，优化提升汽车4S店、家电和家居卖场服务水平。</w:t>
      </w:r>
      <w:r>
        <w:rPr>
          <w:rFonts w:cs="Times New Roman"/>
          <w:szCs w:val="32"/>
        </w:rPr>
        <w:t>推动老字号品牌传承创新，建设“老字号”博物馆或展示馆，挖掘“老牌新品”消费增长潜力。</w:t>
      </w:r>
      <w:r>
        <w:rPr>
          <w:rFonts w:cs="Times New Roman"/>
          <w:kern w:val="0"/>
          <w:szCs w:val="32"/>
          <w:lang w:bidi="ar"/>
        </w:rPr>
        <w:t>顺应银发经济趋势，大力发展老年健康食品、抗衰老产品、老年康复辅助器具等老年产品制造。培育壮大多元化二手商品流通主体，发展二手商品网络交易。</w:t>
      </w:r>
    </w:p>
    <w:p w14:paraId="0847C588">
      <w:pPr>
        <w:rPr>
          <w:rFonts w:cs="Times New Roman"/>
          <w:szCs w:val="32"/>
        </w:rPr>
      </w:pPr>
      <w:r>
        <w:rPr>
          <w:rFonts w:eastAsia="楷体_GB2312" w:cs="Times New Roman"/>
          <w:szCs w:val="40"/>
          <w:lang w:bidi="bo-CN"/>
        </w:rPr>
        <w:t>促进服务消费扩容提质。</w:t>
      </w:r>
      <w:r>
        <w:rPr>
          <w:rFonts w:cs="Times New Roman"/>
          <w:szCs w:val="32"/>
          <w:lang w:bidi="bo-CN"/>
        </w:rPr>
        <w:t>实施服务消费提质惠民行动，做精做优餐饮、家政、养老托育等基础型服务消费，激发文化旅游、教育培训等改善型消费活力，培育壮大健康消费、数字消费、绿色消费等新型消费。</w:t>
      </w:r>
      <w:r>
        <w:rPr>
          <w:rFonts w:cs="Times New Roman"/>
          <w:szCs w:val="32"/>
        </w:rPr>
        <w:t>突出项目集聚、业态融合、场景支撑，全面提升海门服务消费的品牌集聚度、商业活跃度、消费便利度。依托海门学科教育、足球教育等资源优势，吸引更多足球培训、教师研学消费。通过预约服务、智能结算、网订店取（送）、直播带货、自助售卖等创新模式，扩大优质服务覆盖面。</w:t>
      </w:r>
    </w:p>
    <w:tbl>
      <w:tblPr>
        <w:tblStyle w:val="2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60"/>
      </w:tblGrid>
      <w:tr w14:paraId="2F87EA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60" w:type="dxa"/>
          </w:tcPr>
          <w:p w14:paraId="44719912">
            <w:pPr>
              <w:pStyle w:val="13"/>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eastAsia="黑体"/>
                <w:sz w:val="24"/>
                <w:szCs w:val="32"/>
              </w:rPr>
            </w:pPr>
            <w:r>
              <w:rPr>
                <w:rFonts w:eastAsia="黑体"/>
                <w:sz w:val="24"/>
                <w:szCs w:val="32"/>
              </w:rPr>
              <w:t>专栏11  服务消费发展重点</w:t>
            </w:r>
          </w:p>
          <w:p w14:paraId="550A16E3">
            <w:pPr>
              <w:keepNext w:val="0"/>
              <w:keepLines w:val="0"/>
              <w:pageBreakBefore w:val="0"/>
              <w:widowControl w:val="0"/>
              <w:kinsoku/>
              <w:wordWrap/>
              <w:overflowPunct/>
              <w:topLinePunct w:val="0"/>
              <w:autoSpaceDE/>
              <w:autoSpaceDN/>
              <w:bidi w:val="0"/>
              <w:adjustRightInd/>
              <w:snapToGrid/>
              <w:spacing w:line="400" w:lineRule="exact"/>
              <w:ind w:firstLine="480"/>
              <w:textAlignment w:val="auto"/>
              <w:rPr>
                <w:rFonts w:cs="Times New Roman"/>
                <w:sz w:val="24"/>
              </w:rPr>
            </w:pPr>
            <w:r>
              <w:rPr>
                <w:rFonts w:eastAsia="楷体_GB2312" w:cs="Times New Roman"/>
                <w:sz w:val="24"/>
              </w:rPr>
              <w:t>住餐消费。</w:t>
            </w:r>
            <w:r>
              <w:rPr>
                <w:rFonts w:cs="Times New Roman"/>
                <w:sz w:val="24"/>
              </w:rPr>
              <w:t>加快集聚品牌资源，招引集聚连锁品牌餐饮首店。持续举办“寻味海门”美食活动和“鲜活海门”农产品展销活动。支持住宿业与旅游、康养等业态融合发展。</w:t>
            </w:r>
          </w:p>
          <w:p w14:paraId="7F1CEA03">
            <w:pPr>
              <w:keepNext w:val="0"/>
              <w:keepLines w:val="0"/>
              <w:pageBreakBefore w:val="0"/>
              <w:widowControl w:val="0"/>
              <w:kinsoku/>
              <w:wordWrap/>
              <w:overflowPunct/>
              <w:topLinePunct w:val="0"/>
              <w:autoSpaceDE/>
              <w:autoSpaceDN/>
              <w:bidi w:val="0"/>
              <w:adjustRightInd/>
              <w:snapToGrid/>
              <w:spacing w:line="400" w:lineRule="exact"/>
              <w:ind w:firstLine="480"/>
              <w:textAlignment w:val="auto"/>
              <w:rPr>
                <w:rFonts w:eastAsia="方正仿宋_GBK" w:cs="Times New Roman"/>
                <w:sz w:val="24"/>
              </w:rPr>
            </w:pPr>
            <w:r>
              <w:rPr>
                <w:rFonts w:eastAsia="楷体_GB2312" w:cs="Times New Roman"/>
                <w:sz w:val="24"/>
              </w:rPr>
              <w:t>教育消费。</w:t>
            </w:r>
            <w:r>
              <w:rPr>
                <w:rFonts w:hint="default" w:ascii="Times New Roman" w:hAnsi="Times New Roman" w:eastAsia="仿宋_GB2312" w:cs="Times New Roman"/>
                <w:sz w:val="24"/>
              </w:rPr>
              <w:t>吸引更多教师代表团前来考察交流、跟岗锻炼、专题研修。开发青少年研学游线路。发展教育赛事经济，围绕教育部“白名单”赛事举办青少年科技、人文等比赛和活动。发展职业技能培训、学历提升、技能等级认定等职业教育服务。</w:t>
            </w:r>
          </w:p>
          <w:p w14:paraId="134A7658">
            <w:pPr>
              <w:keepNext w:val="0"/>
              <w:keepLines w:val="0"/>
              <w:pageBreakBefore w:val="0"/>
              <w:widowControl w:val="0"/>
              <w:kinsoku/>
              <w:wordWrap/>
              <w:overflowPunct/>
              <w:topLinePunct w:val="0"/>
              <w:autoSpaceDE/>
              <w:autoSpaceDN/>
              <w:bidi w:val="0"/>
              <w:adjustRightInd/>
              <w:snapToGrid/>
              <w:spacing w:line="400" w:lineRule="exact"/>
              <w:ind w:firstLine="480"/>
              <w:textAlignment w:val="auto"/>
              <w:rPr>
                <w:rFonts w:cs="Times New Roman"/>
              </w:rPr>
            </w:pPr>
            <w:r>
              <w:rPr>
                <w:rFonts w:eastAsia="楷体_GB2312" w:cs="Times New Roman"/>
                <w:sz w:val="24"/>
              </w:rPr>
              <w:t>文体旅消费。</w:t>
            </w:r>
            <w:r>
              <w:rPr>
                <w:rFonts w:hint="default" w:ascii="Times New Roman" w:hAnsi="Times New Roman" w:eastAsia="仿宋_GB2312" w:cs="Times New Roman"/>
                <w:sz w:val="24"/>
              </w:rPr>
              <w:t>提升海门保利剧院品牌影响力，办好新春文旅嘉年华、“四季江海”文旅集市、“点亮海门之美”文旅夜市、“江海文化旅游季”等</w:t>
            </w:r>
            <w:r>
              <w:rPr>
                <w:rFonts w:hint="default" w:ascii="Times New Roman" w:hAnsi="Times New Roman" w:eastAsia="仿宋_GB2312" w:cs="Times New Roman"/>
                <w:sz w:val="24"/>
                <w:highlight w:val="none"/>
              </w:rPr>
              <w:t>特色促消费</w:t>
            </w:r>
            <w:r>
              <w:rPr>
                <w:rFonts w:hint="default" w:ascii="Times New Roman" w:hAnsi="Times New Roman" w:eastAsia="仿宋_GB2312" w:cs="Times New Roman"/>
                <w:sz w:val="24"/>
              </w:rPr>
              <w:t>活动。</w:t>
            </w:r>
          </w:p>
          <w:p w14:paraId="2AAACE2F">
            <w:pPr>
              <w:keepNext w:val="0"/>
              <w:keepLines w:val="0"/>
              <w:pageBreakBefore w:val="0"/>
              <w:widowControl w:val="0"/>
              <w:kinsoku/>
              <w:wordWrap/>
              <w:overflowPunct/>
              <w:topLinePunct w:val="0"/>
              <w:autoSpaceDE/>
              <w:autoSpaceDN/>
              <w:bidi w:val="0"/>
              <w:adjustRightInd/>
              <w:snapToGrid/>
              <w:spacing w:line="400" w:lineRule="exact"/>
              <w:ind w:firstLine="480"/>
              <w:textAlignment w:val="auto"/>
              <w:rPr>
                <w:rFonts w:cs="Times New Roman"/>
                <w:sz w:val="24"/>
              </w:rPr>
            </w:pPr>
            <w:r>
              <w:rPr>
                <w:rFonts w:eastAsia="楷体_GB2312" w:cs="Times New Roman"/>
                <w:sz w:val="24"/>
              </w:rPr>
              <w:t>家政消费。</w:t>
            </w:r>
            <w:r>
              <w:rPr>
                <w:rFonts w:cs="Times New Roman"/>
                <w:sz w:val="24"/>
              </w:rPr>
              <w:t>突出规范、优质、便捷、降本，深化“海门爱帮忙”等品牌建设，推动家政、托育、物业消费服务提档升级。</w:t>
            </w:r>
          </w:p>
          <w:p w14:paraId="75B4AE19">
            <w:pPr>
              <w:keepNext w:val="0"/>
              <w:keepLines w:val="0"/>
              <w:pageBreakBefore w:val="0"/>
              <w:widowControl w:val="0"/>
              <w:kinsoku/>
              <w:wordWrap/>
              <w:overflowPunct/>
              <w:topLinePunct w:val="0"/>
              <w:autoSpaceDE/>
              <w:autoSpaceDN/>
              <w:bidi w:val="0"/>
              <w:adjustRightInd/>
              <w:snapToGrid/>
              <w:spacing w:line="400" w:lineRule="exact"/>
              <w:ind w:firstLine="480"/>
              <w:textAlignment w:val="auto"/>
              <w:rPr>
                <w:rFonts w:eastAsia="方正仿宋_GBK" w:cs="Times New Roman"/>
                <w:szCs w:val="32"/>
              </w:rPr>
            </w:pPr>
            <w:r>
              <w:rPr>
                <w:rFonts w:eastAsia="楷体_GB2312" w:cs="Times New Roman"/>
                <w:sz w:val="24"/>
              </w:rPr>
              <w:t>健康和养老消费。</w:t>
            </w:r>
            <w:r>
              <w:rPr>
                <w:rFonts w:hint="default" w:ascii="Times New Roman" w:hAnsi="Times New Roman" w:eastAsia="仿宋_GB2312" w:cs="Times New Roman"/>
                <w:sz w:val="24"/>
              </w:rPr>
              <w:t>大力发展康养旅游、健康管理咨询、健康体检、医疗美容等健康服务。深入对接长三角养老服务需求，引进优质养老服务品牌，增加中高端养老服务供给，开发适老化旅游项目和消费场景，支持设立银发消费专区。</w:t>
            </w:r>
          </w:p>
        </w:tc>
      </w:tr>
    </w:tbl>
    <w:p w14:paraId="0C475560">
      <w:pPr>
        <w:keepNext w:val="0"/>
        <w:keepLines w:val="0"/>
        <w:pageBreakBefore w:val="0"/>
        <w:widowControl w:val="0"/>
        <w:kinsoku/>
        <w:wordWrap/>
        <w:overflowPunct/>
        <w:topLinePunct w:val="0"/>
        <w:autoSpaceDE/>
        <w:autoSpaceDN/>
        <w:bidi w:val="0"/>
        <w:adjustRightInd/>
        <w:snapToGrid/>
        <w:spacing w:line="240" w:lineRule="exact"/>
        <w:textAlignment w:val="auto"/>
        <w:rPr>
          <w:rFonts w:eastAsia="楷体_GB2312" w:cs="Times New Roman"/>
          <w:szCs w:val="40"/>
          <w:lang w:bidi="bo-CN"/>
        </w:rPr>
      </w:pPr>
    </w:p>
    <w:p w14:paraId="27A2FF5F">
      <w:pPr>
        <w:keepNext w:val="0"/>
        <w:keepLines w:val="0"/>
        <w:pageBreakBefore w:val="0"/>
        <w:widowControl w:val="0"/>
        <w:kinsoku/>
        <w:wordWrap/>
        <w:overflowPunct/>
        <w:topLinePunct w:val="0"/>
        <w:autoSpaceDE/>
        <w:autoSpaceDN/>
        <w:bidi w:val="0"/>
        <w:adjustRightInd/>
        <w:snapToGrid/>
        <w:textAlignment w:val="auto"/>
        <w:rPr>
          <w:rFonts w:eastAsia="方正仿宋_GBK" w:cs="Times New Roman"/>
          <w:szCs w:val="40"/>
          <w:lang w:bidi="bo-CN"/>
        </w:rPr>
      </w:pPr>
      <w:r>
        <w:rPr>
          <w:rFonts w:eastAsia="楷体_GB2312" w:cs="Times New Roman"/>
          <w:szCs w:val="32"/>
        </w:rPr>
        <w:t>构建多元融合消费场景。</w:t>
      </w:r>
      <w:r>
        <w:rPr>
          <w:rFonts w:cs="Times New Roman"/>
          <w:szCs w:val="32"/>
        </w:rPr>
        <w:t>创新“适青”“适儿”“适老”“适新”全生命周期消费供给</w:t>
      </w:r>
      <w:r>
        <w:rPr>
          <w:rFonts w:hint="eastAsia" w:ascii="仿宋_GB2312" w:hAnsi="仿宋_GB2312" w:eastAsia="仿宋_GB2312" w:cs="仿宋_GB2312"/>
          <w:szCs w:val="32"/>
        </w:rPr>
        <w:t>，</w:t>
      </w:r>
      <w:r>
        <w:rPr>
          <w:rFonts w:cs="Times New Roman"/>
          <w:szCs w:val="32"/>
        </w:rPr>
        <w:t>鼓励个性化、圈层化、悦己型消费场景创新。大力发展情绪经济、谷子经济、票根经济、演艺经济、宠物经济、露营经济、低空文旅等热门消费业态，打造即时消费、沉浸式体验式消费场景。</w:t>
      </w:r>
      <w:r>
        <w:rPr>
          <w:rFonts w:hint="eastAsia" w:ascii="仿宋_GB2312" w:hAnsi="仿宋_GB2312" w:eastAsia="仿宋_GB2312" w:cs="仿宋_GB2312"/>
          <w:kern w:val="0"/>
          <w:szCs w:val="32"/>
          <w:lang w:bidi="ar"/>
        </w:rPr>
        <w:t>鼓励发展首发经济，加大对国内外知名品牌的招商力度，支持设立旗舰店、体验店，大力吸引首秀首展、首演首映、特色首赛。</w:t>
      </w:r>
      <w:r>
        <w:rPr>
          <w:rFonts w:cs="Times New Roman"/>
          <w:snapToGrid w:val="0"/>
          <w:kern w:val="0"/>
          <w:szCs w:val="22"/>
        </w:rPr>
        <w:t>丰富夜经济供给，完善夜间消费配套设施和服务，打造若干夜间消费集聚区。鼓励利用老旧厂房、城市公园等开放空间打造创意市集、露营休闲区等新型消费空间。</w:t>
      </w:r>
      <w:r>
        <w:rPr>
          <w:rFonts w:cs="Times New Roman"/>
          <w:szCs w:val="32"/>
        </w:rPr>
        <w:t>建好“海门有礼”等“吃住行游娱购”全场景线上消费平台。</w:t>
      </w:r>
      <w:r>
        <w:rPr>
          <w:rFonts w:cs="Times New Roman"/>
          <w:kern w:val="0"/>
          <w:szCs w:val="32"/>
          <w:lang w:bidi="ar"/>
        </w:rPr>
        <w:t>到2030年，引进外来首店不少于50家，培育本土首发品牌不少于30个。</w:t>
      </w:r>
    </w:p>
    <w:p w14:paraId="332B9B88">
      <w:pPr>
        <w:keepNext w:val="0"/>
        <w:keepLines w:val="0"/>
        <w:pageBreakBefore w:val="0"/>
        <w:widowControl w:val="0"/>
        <w:kinsoku/>
        <w:wordWrap/>
        <w:overflowPunct/>
        <w:topLinePunct w:val="0"/>
        <w:autoSpaceDE/>
        <w:autoSpaceDN/>
        <w:bidi w:val="0"/>
        <w:adjustRightInd/>
        <w:snapToGrid/>
        <w:textAlignment w:val="auto"/>
        <w:rPr>
          <w:rFonts w:cs="Times New Roman"/>
          <w:szCs w:val="32"/>
        </w:rPr>
      </w:pPr>
      <w:r>
        <w:rPr>
          <w:rFonts w:eastAsia="楷体_GB2312" w:cs="Times New Roman"/>
          <w:szCs w:val="40"/>
          <w:lang w:bidi="bo-CN"/>
        </w:rPr>
        <w:t>健全消费支持体系。</w:t>
      </w:r>
      <w:r>
        <w:rPr>
          <w:rFonts w:cs="Times New Roman"/>
          <w:szCs w:val="32"/>
        </w:rPr>
        <w:t>落实提振消费专项行动，增强居民消费能力和意愿。面向长三角打造“周末海门”消费品牌，持续开展“约惠海门·品质生活”等促消费活动，谋划全季节全时段促消费活动矩阵，加大直达消费者的普惠政策力度。加强“名菜、名小吃、名厨、名店”四名品牌培育，扩大“海门好吃”本帮菜、“海门好逛”打卡点、“海门好玩”景点、“海门好住”酒店等榜单影响力。开展放心消费承诺活动，加强消费领域信用体系建设，鼓励设立消费维权服务站，开展打击侵害消费者权益突出违法行为执法行动。</w:t>
      </w:r>
    </w:p>
    <w:p w14:paraId="2AFA76D7">
      <w:pPr>
        <w:pStyle w:val="3"/>
        <w:rPr>
          <w:rFonts w:ascii="Times New Roman" w:hAnsi="Times New Roman" w:cs="Times New Roman"/>
        </w:rPr>
      </w:pPr>
      <w:bookmarkStart w:id="412" w:name="_Toc11682"/>
      <w:bookmarkStart w:id="413" w:name="_Toc21390"/>
      <w:bookmarkStart w:id="414" w:name="_Toc21207"/>
      <w:bookmarkStart w:id="415" w:name="_Toc5424"/>
      <w:bookmarkStart w:id="416" w:name="_Toc30321"/>
      <w:bookmarkStart w:id="417" w:name="_Toc20390"/>
      <w:bookmarkStart w:id="418" w:name="_Toc32646"/>
      <w:bookmarkStart w:id="419" w:name="_Toc3723"/>
      <w:bookmarkStart w:id="420" w:name="_Toc26072"/>
      <w:bookmarkStart w:id="421" w:name="_Toc22372"/>
      <w:bookmarkStart w:id="422" w:name="_Toc28349"/>
      <w:bookmarkStart w:id="423" w:name="_Toc1175"/>
      <w:bookmarkStart w:id="424" w:name="_Toc25173"/>
      <w:bookmarkStart w:id="425" w:name="_Toc12513"/>
      <w:r>
        <w:rPr>
          <w:rFonts w:ascii="Times New Roman" w:hAnsi="Times New Roman" w:cs="Times New Roman"/>
        </w:rPr>
        <w:t>第二节  打造更具吸引力的投资目的地</w:t>
      </w:r>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p>
    <w:p w14:paraId="65ADE60D">
      <w:pPr>
        <w:rPr>
          <w:rFonts w:eastAsia="方正仿宋_GBK" w:cs="Times New Roman"/>
        </w:rPr>
      </w:pPr>
      <w:r>
        <w:rPr>
          <w:rFonts w:eastAsia="楷体_GB2312" w:cs="Times New Roman"/>
          <w:szCs w:val="40"/>
          <w:lang w:bidi="bo-CN"/>
        </w:rPr>
        <w:t>提升有效投资质效。</w:t>
      </w:r>
      <w:r>
        <w:rPr>
          <w:rFonts w:cs="Times New Roman"/>
        </w:rPr>
        <w:t>加大“5+2+X”产业强链延链补链、服务业发展、科技创新等领域投资，支持存量企业增资扩产、技改投资，主动拓展海洋经济、低空经济、</w:t>
      </w:r>
      <w:r>
        <w:rPr>
          <w:rFonts w:hint="eastAsia" w:cs="Times New Roman"/>
        </w:rPr>
        <w:t>数字</w:t>
      </w:r>
      <w:r>
        <w:rPr>
          <w:rFonts w:cs="Times New Roman"/>
        </w:rPr>
        <w:t>经济、绿色经济等领域增量投资空间，在具有引领支撑的重大项目及高成长性的科技项目投资上持续突破。聚焦产业设备更新、城市更新、新型基础设施、绿色低碳转型等领域，加强“两重”项目动态储备</w:t>
      </w:r>
      <w:r>
        <w:rPr>
          <w:rFonts w:cs="Times New Roman"/>
          <w:szCs w:val="32"/>
          <w:shd w:val="clear" w:color="auto" w:fill="FFFFFF"/>
        </w:rPr>
        <w:t>和有效实施，谋划推进一批标志性重大工程，实施新一轮大规模技术改造，</w:t>
      </w:r>
      <w:r>
        <w:rPr>
          <w:rFonts w:cs="Times New Roman"/>
        </w:rPr>
        <w:t>争取上级政策性资金支持</w:t>
      </w:r>
      <w:r>
        <w:rPr>
          <w:rFonts w:cs="Times New Roman"/>
          <w:kern w:val="0"/>
          <w:szCs w:val="32"/>
          <w:lang w:bidi="ar"/>
        </w:rPr>
        <w:t>，提升政策性资金项目建设质效。加强人力资源开发和人的全面发展投资</w:t>
      </w:r>
      <w:r>
        <w:rPr>
          <w:rFonts w:cs="Times New Roman"/>
        </w:rPr>
        <w:t>，谋划实施一批民生实事项目，引导各方资源“投资于人”。统筹运用基础设施REITs、产权交易、国有资本投资运营、兼并重组等方式，有效盘活低效闲置资产。</w:t>
      </w:r>
    </w:p>
    <w:p w14:paraId="5B5F79A8">
      <w:pPr>
        <w:bidi w:val="0"/>
      </w:pPr>
      <w:r>
        <w:rPr>
          <w:rFonts w:eastAsia="楷体_GB2312" w:cs="Times New Roman"/>
          <w:szCs w:val="40"/>
          <w:lang w:bidi="bo-CN"/>
        </w:rPr>
        <w:t>提升优质项目招引能力。</w:t>
      </w:r>
      <w:r>
        <w:t>围绕先进制造业、现代服务业、科创、外资、农业、总部经济等项目，优化专业化、精准化招商体系，聚焦长三角、大湾区等重点区域加大招商引资攻坚力度，构建重大项目与科创项目齐头并进的项目矩阵。强化产业链招商、活动招商、驻外招商、资本招商，实施产业链招商“灯塔”行动、“采矿</w:t>
      </w:r>
      <w:r>
        <w:rPr>
          <w:highlight w:val="none"/>
        </w:rPr>
        <w:t>”计划</w:t>
      </w:r>
      <w:r>
        <w:t>，放大招商品牌活动效应，打造“创芯海门”“芯光智谷”等重点产业形象品牌。完善市场化资本招商运作机制，打造“基金+基地+产业链”模式。实施“东洲雁归”工程，发挥异地海门商会平台作用，用好海中校友资源，推动资本回流、产业回迁、企业回归、贤达回乡。拓展应用场景招商、新型要素招商等新模式。强化招商队伍建设，更好统筹“区镇、部门、驻外招商局、国企”4支招商力量，深化“招商菁兵”培育工程。</w:t>
      </w:r>
    </w:p>
    <w:p w14:paraId="78CB0250">
      <w:pPr>
        <w:rPr>
          <w:rFonts w:cs="Times New Roman"/>
        </w:rPr>
      </w:pPr>
      <w:r>
        <w:rPr>
          <w:rFonts w:eastAsia="楷体_GB2312" w:cs="Times New Roman"/>
          <w:szCs w:val="40"/>
          <w:lang w:bidi="bo-CN"/>
        </w:rPr>
        <w:t>强化项目全生命周期管理服务。</w:t>
      </w:r>
      <w:r>
        <w:rPr>
          <w:rFonts w:cs="Times New Roman"/>
        </w:rPr>
        <w:t>动态组建重大项目“区领导+区镇+项目办+要素保障部门”联合服务专班，强化重大项目问题“梳理</w:t>
      </w:r>
      <w:r>
        <w:rPr>
          <w:rFonts w:hint="eastAsia" w:cs="Times New Roman"/>
          <w:lang w:eastAsia="zh-CN"/>
        </w:rPr>
        <w:t>—</w:t>
      </w:r>
      <w:r>
        <w:rPr>
          <w:rFonts w:cs="Times New Roman"/>
        </w:rPr>
        <w:t>交办</w:t>
      </w:r>
      <w:r>
        <w:rPr>
          <w:rFonts w:hint="eastAsia" w:cs="Times New Roman"/>
          <w:lang w:eastAsia="zh-CN"/>
        </w:rPr>
        <w:t>—</w:t>
      </w:r>
      <w:r>
        <w:rPr>
          <w:rFonts w:cs="Times New Roman"/>
        </w:rPr>
        <w:t>跟踪</w:t>
      </w:r>
      <w:r>
        <w:rPr>
          <w:rFonts w:hint="eastAsia" w:cs="Times New Roman"/>
          <w:lang w:eastAsia="zh-CN"/>
        </w:rPr>
        <w:t>—</w:t>
      </w:r>
      <w:r>
        <w:rPr>
          <w:rFonts w:cs="Times New Roman"/>
        </w:rPr>
        <w:t>销号”闭环管理。实施项目洽谈“3777”推进机制。统筹保障重点项目用地、载体、人才、资金、能源、生态环境等要素资源。强化重点项目招引“回头看”全过程复盘，完善“履约率”“达产率”考核评价制度，提高项目招引转化率和落地率。</w:t>
      </w:r>
    </w:p>
    <w:p w14:paraId="05E549B0">
      <w:pPr>
        <w:pStyle w:val="3"/>
        <w:rPr>
          <w:rFonts w:ascii="Times New Roman" w:hAnsi="Times New Roman" w:cs="Times New Roman"/>
        </w:rPr>
      </w:pPr>
      <w:bookmarkStart w:id="426" w:name="_Toc11428"/>
      <w:bookmarkStart w:id="427" w:name="_Toc18653"/>
      <w:bookmarkStart w:id="428" w:name="_Toc8867"/>
      <w:bookmarkStart w:id="429" w:name="_Toc7787"/>
      <w:bookmarkStart w:id="430" w:name="_Toc28978"/>
      <w:bookmarkStart w:id="431" w:name="_Toc1111"/>
      <w:bookmarkStart w:id="432" w:name="_Toc9503"/>
      <w:bookmarkStart w:id="433" w:name="_Toc4569"/>
      <w:bookmarkStart w:id="434" w:name="_Toc30555"/>
      <w:bookmarkStart w:id="435" w:name="_Toc27211"/>
      <w:bookmarkStart w:id="436" w:name="_Toc12527"/>
      <w:bookmarkStart w:id="437" w:name="_Toc23622"/>
      <w:bookmarkStart w:id="438" w:name="_Toc16228"/>
      <w:bookmarkStart w:id="439" w:name="_Toc5178"/>
    </w:p>
    <w:p w14:paraId="1F24A090">
      <w:pPr>
        <w:pStyle w:val="3"/>
        <w:rPr>
          <w:rFonts w:ascii="Times New Roman" w:hAnsi="Times New Roman" w:cs="Times New Roman"/>
        </w:rPr>
      </w:pPr>
      <w:r>
        <w:rPr>
          <w:rFonts w:ascii="Times New Roman" w:hAnsi="Times New Roman" w:cs="Times New Roman"/>
        </w:rPr>
        <w:t>第三节  发展更具韧性的开放型经济</w:t>
      </w:r>
      <w:bookmarkEnd w:id="426"/>
      <w:bookmarkEnd w:id="427"/>
      <w:bookmarkEnd w:id="428"/>
      <w:bookmarkEnd w:id="429"/>
      <w:bookmarkEnd w:id="430"/>
      <w:bookmarkEnd w:id="431"/>
      <w:bookmarkEnd w:id="432"/>
      <w:bookmarkEnd w:id="433"/>
      <w:bookmarkEnd w:id="434"/>
      <w:bookmarkEnd w:id="435"/>
      <w:bookmarkEnd w:id="436"/>
      <w:bookmarkEnd w:id="437"/>
      <w:bookmarkEnd w:id="438"/>
      <w:bookmarkEnd w:id="439"/>
    </w:p>
    <w:p w14:paraId="5B30848F">
      <w:pPr>
        <w:rPr>
          <w:rFonts w:cs="Times New Roman"/>
        </w:rPr>
      </w:pPr>
      <w:r>
        <w:rPr>
          <w:rFonts w:eastAsia="楷体_GB2312" w:cs="Times New Roman"/>
        </w:rPr>
        <w:t>推动外贸稳规模优结构。</w:t>
      </w:r>
      <w:r>
        <w:rPr>
          <w:rFonts w:cs="Times New Roman"/>
        </w:rPr>
        <w:t>稳定传统外贸市场，大力拓展“一带一路”和RCEP协定国家以及拉美等新兴市场。支持船舶海工、风电装备、生物医药、高端纺织等“海门制造”企业拓展全球市场，支持家纺、体育用品、电动工具等产品内外贸一体发展。实施外贸企业培优扶强行动，深化重点外贸企业挂钩联系机制，加大融资、信保、参展等政策支持，招引大宗贸易商、供应链链主、外综服务机构落户，培育一批海关AEO认证企业。深化“跨境电商+产业带+海外仓”联动发展模式，大力发展跨境电商，鼓励企业积极尝试跨境电商业务，支持建设海外仓和展示中心，完善德国海外仓项目。推进</w:t>
      </w:r>
      <w:bookmarkStart w:id="440" w:name="OLE_LINK7"/>
      <w:r>
        <w:rPr>
          <w:rFonts w:cs="Times New Roman"/>
        </w:rPr>
        <w:t>服务贸易</w:t>
      </w:r>
      <w:bookmarkEnd w:id="440"/>
      <w:r>
        <w:rPr>
          <w:rFonts w:cs="Times New Roman"/>
        </w:rPr>
        <w:t>量质提升，发挥海门高新区省级服务外包示范区示范引领作用，建设生物医药科创园、模式动物基地等服务外包特色载体，巩固生物医药研发服务等优势领域，挖掘信息技术外包等潜力领域。培育绿色贸易、数字贸易、离岸贸易等新型服务贸易。提升贸易便利化水平，推动中天钢铁码头尽快获批开放，</w:t>
      </w:r>
      <w:r>
        <w:rPr>
          <w:rFonts w:hint="eastAsia" w:cs="Times New Roman"/>
        </w:rPr>
        <w:t>有序</w:t>
      </w:r>
      <w:r>
        <w:rPr>
          <w:rFonts w:cs="Times New Roman"/>
        </w:rPr>
        <w:t>推进沿江、沿海码头开放，推广进口货物“船边直提”、出口货物“抵港直装”作业等模式</w:t>
      </w:r>
      <w:r>
        <w:rPr>
          <w:rFonts w:hint="eastAsia" w:cs="Times New Roman"/>
          <w:highlight w:val="none"/>
          <w:lang w:eastAsia="zh-CN"/>
        </w:rPr>
        <w:t>。</w:t>
      </w:r>
      <w:r>
        <w:rPr>
          <w:rFonts w:cs="Times New Roman"/>
        </w:rPr>
        <w:t>加快进境粮食指定监管场地、叠石桥海关监管作业场所等建设，探索叠加出口货物拼箱、装箱前查验、进口属地查检即到即检等功能。“十五五”期间，跨境电商交易额年均增速20%以上，打造2个跨境电商特色产业带，培育公共海外仓（含展示厅）不少于3个。</w:t>
      </w:r>
    </w:p>
    <w:p w14:paraId="6F5A5064">
      <w:pPr>
        <w:rPr>
          <w:rFonts w:eastAsia="楷体_GB2312" w:cs="Times New Roman"/>
        </w:rPr>
      </w:pPr>
      <w:r>
        <w:rPr>
          <w:rFonts w:eastAsia="楷体_GB2312" w:cs="Times New Roman"/>
        </w:rPr>
        <w:t>提高利用外资水平。</w:t>
      </w:r>
      <w:r>
        <w:rPr>
          <w:rFonts w:cs="Times New Roman"/>
        </w:rPr>
        <w:t>落实外商投资准入前国民待遇加负面清单管理制度，健全外商投资服务与权益保障机制，优化外籍人员来海便利化举措。提高利用外资质量，吸引优质外资参与“5+2+X”重点产业强链补链延链，加大服务业引资力度，支持外资投资性公司、研发中心、跨国公司地区总部等机构落户海门。引导存量外资通过增资、利润再投资、债转股等形式做强做优，拓展QFLP项目等利用外资新渠道。瞄准欧盟、俄罗斯、中东、韩国、新加坡及港台等国家和地区，开展出境招商，探索驻点招商，实施“全球招商合作伙伴”计划。推进两岸（海门）智能制造产业合作园区建设，培育两岸经贸合作新亮点。</w:t>
      </w:r>
    </w:p>
    <w:p w14:paraId="76CB027D">
      <w:pPr>
        <w:rPr>
          <w:rFonts w:cs="Times New Roman"/>
        </w:rPr>
        <w:sectPr>
          <w:pgSz w:w="11906" w:h="16838"/>
          <w:pgMar w:top="1814" w:right="1531" w:bottom="1984" w:left="1531" w:header="510" w:footer="1474" w:gutter="0"/>
          <w:cols w:space="0" w:num="1"/>
          <w:docGrid w:type="lines" w:linePitch="312" w:charSpace="0"/>
        </w:sectPr>
      </w:pPr>
      <w:r>
        <w:rPr>
          <w:rFonts w:eastAsia="楷体_GB2312" w:cs="Times New Roman"/>
        </w:rPr>
        <w:t>支持企业“走出去”。</w:t>
      </w:r>
      <w:r>
        <w:rPr>
          <w:rFonts w:cs="Times New Roman"/>
        </w:rPr>
        <w:t>培育本土跨国企业，支持企业通过新设、增资、并购方式开展生产加工、技术研发、资源开发等海外投资，促进贸易投资一体化。融入“一带一路”建设，支持企业到“一带一路”境外合作园区投资兴业。健全对外投资服务保障机制和跨部门联动协调服务机制，强化国别分析、政策对接、本地化用工等一站式支持，提升企业合规意识和维权能力。健全海外利益和投资风险预警、防控保护体制机制，帮助出海企业协调实际困难、更好应对海外风险。</w:t>
      </w:r>
    </w:p>
    <w:p w14:paraId="652B607B">
      <w:pPr>
        <w:pStyle w:val="2"/>
        <w:rPr>
          <w:rFonts w:ascii="Times New Roman" w:hAnsi="Times New Roman" w:cs="Times New Roman"/>
          <w:spacing w:val="-11"/>
        </w:rPr>
      </w:pPr>
      <w:bookmarkStart w:id="441" w:name="_Toc9029"/>
      <w:bookmarkStart w:id="442" w:name="_Toc20205"/>
      <w:bookmarkStart w:id="443" w:name="_Toc30245"/>
      <w:bookmarkStart w:id="444" w:name="_Toc30598"/>
      <w:bookmarkStart w:id="445" w:name="_Toc8526"/>
      <w:bookmarkStart w:id="446" w:name="_Toc11906"/>
      <w:bookmarkStart w:id="447" w:name="_Toc9813"/>
      <w:bookmarkStart w:id="448" w:name="_Toc16658"/>
      <w:bookmarkStart w:id="449" w:name="_Toc30532"/>
      <w:bookmarkStart w:id="450" w:name="_Toc17561"/>
      <w:bookmarkStart w:id="451" w:name="_Toc9942"/>
      <w:bookmarkStart w:id="452" w:name="_Toc31718"/>
      <w:bookmarkStart w:id="453" w:name="_Toc18432"/>
      <w:bookmarkStart w:id="454" w:name="_Toc831"/>
      <w:r>
        <w:rPr>
          <w:rFonts w:ascii="Times New Roman" w:hAnsi="Times New Roman" w:cs="Times New Roman"/>
          <w:spacing w:val="-11"/>
        </w:rPr>
        <w:t xml:space="preserve">第七章  </w:t>
      </w:r>
      <w:bookmarkEnd w:id="441"/>
      <w:r>
        <w:rPr>
          <w:rFonts w:ascii="Times New Roman" w:hAnsi="Times New Roman" w:cs="Times New Roman"/>
          <w:spacing w:val="-11"/>
        </w:rPr>
        <w:t xml:space="preserve">深入推进数字海门建设  </w:t>
      </w:r>
      <w:bookmarkEnd w:id="442"/>
      <w:bookmarkEnd w:id="443"/>
      <w:bookmarkEnd w:id="444"/>
      <w:bookmarkEnd w:id="445"/>
      <w:bookmarkEnd w:id="446"/>
      <w:bookmarkEnd w:id="447"/>
      <w:r>
        <w:rPr>
          <w:rFonts w:ascii="Times New Roman" w:hAnsi="Times New Roman" w:cs="Times New Roman"/>
          <w:spacing w:val="-11"/>
        </w:rPr>
        <w:t>打造智能经济和智能社会新形态</w:t>
      </w:r>
      <w:bookmarkEnd w:id="448"/>
      <w:bookmarkEnd w:id="449"/>
      <w:bookmarkEnd w:id="450"/>
      <w:bookmarkEnd w:id="451"/>
      <w:bookmarkEnd w:id="452"/>
      <w:bookmarkEnd w:id="453"/>
      <w:bookmarkEnd w:id="454"/>
    </w:p>
    <w:p w14:paraId="4C213E40">
      <w:pPr>
        <w:rPr>
          <w:rFonts w:cs="Times New Roman"/>
          <w:b/>
          <w:bCs/>
          <w:kern w:val="0"/>
          <w:szCs w:val="32"/>
          <w:lang w:bidi="ar"/>
        </w:rPr>
      </w:pPr>
      <w:bookmarkStart w:id="455" w:name="_Toc22517"/>
      <w:r>
        <w:rPr>
          <w:rFonts w:cs="Times New Roman"/>
        </w:rPr>
        <w:t>抓住人工智能等新一代信息技术颠覆性突破机遇，把数字经济作为支撑转型发展的关键增量，推动人工智能赋能千行百业，提升数字政府、智能社会建设水平，打造人机协同、跨界融合、共创分享的智能经济和智能社会新形态。</w:t>
      </w:r>
    </w:p>
    <w:p w14:paraId="325E08D9">
      <w:pPr>
        <w:pStyle w:val="3"/>
        <w:rPr>
          <w:rFonts w:ascii="Times New Roman" w:hAnsi="Times New Roman" w:cs="Times New Roman"/>
        </w:rPr>
      </w:pPr>
      <w:bookmarkStart w:id="456" w:name="_Toc20289"/>
      <w:bookmarkStart w:id="457" w:name="_Toc3542"/>
      <w:bookmarkStart w:id="458" w:name="_Toc8877"/>
      <w:bookmarkStart w:id="459" w:name="_Toc32260"/>
      <w:bookmarkStart w:id="460" w:name="_Toc6316"/>
      <w:bookmarkStart w:id="461" w:name="_Toc14600"/>
      <w:bookmarkStart w:id="462" w:name="_Toc31884"/>
      <w:bookmarkStart w:id="463" w:name="_Toc28966"/>
      <w:bookmarkStart w:id="464" w:name="_Toc21908"/>
      <w:bookmarkStart w:id="465" w:name="_Toc28926"/>
      <w:bookmarkStart w:id="466" w:name="_Toc11078"/>
      <w:bookmarkStart w:id="467" w:name="_Toc23451"/>
      <w:bookmarkStart w:id="468" w:name="_Toc22831"/>
      <w:r>
        <w:rPr>
          <w:rFonts w:ascii="Times New Roman" w:hAnsi="Times New Roman" w:cs="Times New Roman"/>
        </w:rPr>
        <w:t>第一节  做强数字经济关键增量</w:t>
      </w:r>
      <w:bookmarkEnd w:id="455"/>
      <w:bookmarkEnd w:id="456"/>
      <w:bookmarkEnd w:id="457"/>
      <w:bookmarkEnd w:id="458"/>
      <w:bookmarkEnd w:id="459"/>
      <w:bookmarkEnd w:id="460"/>
      <w:bookmarkEnd w:id="461"/>
      <w:bookmarkEnd w:id="462"/>
      <w:bookmarkEnd w:id="463"/>
      <w:bookmarkEnd w:id="464"/>
      <w:bookmarkEnd w:id="465"/>
      <w:bookmarkEnd w:id="466"/>
      <w:bookmarkEnd w:id="467"/>
      <w:bookmarkEnd w:id="468"/>
    </w:p>
    <w:p w14:paraId="5C864060">
      <w:pPr>
        <w:pStyle w:val="30"/>
        <w:overflowPunct w:val="0"/>
        <w:ind w:firstLine="640"/>
        <w:textAlignment w:val="center"/>
        <w:rPr>
          <w:rFonts w:cs="Times New Roman"/>
          <w:szCs w:val="32"/>
        </w:rPr>
      </w:pPr>
      <w:r>
        <w:rPr>
          <w:rFonts w:eastAsia="楷体_GB2312" w:cs="Times New Roman"/>
        </w:rPr>
        <w:t>大力发展数字经济核心产业。</w:t>
      </w:r>
      <w:r>
        <w:rPr>
          <w:rFonts w:cs="Times New Roman"/>
          <w:szCs w:val="32"/>
        </w:rPr>
        <w:t>重点发展光纤光缆、电子元器件、工业机器人等具有核心竞争力的优势数字产业，积极</w:t>
      </w:r>
      <w:r>
        <w:rPr>
          <w:rFonts w:hint="eastAsia" w:cs="Times New Roman"/>
          <w:szCs w:val="32"/>
        </w:rPr>
        <w:t>发展</w:t>
      </w:r>
      <w:r>
        <w:rPr>
          <w:rFonts w:cs="Times New Roman"/>
          <w:szCs w:val="32"/>
        </w:rPr>
        <w:t>软件开发、信息技术</w:t>
      </w:r>
      <w:r>
        <w:rPr>
          <w:rFonts w:hint="eastAsia" w:cs="Times New Roman"/>
          <w:szCs w:val="32"/>
        </w:rPr>
        <w:t>服务</w:t>
      </w:r>
      <w:r>
        <w:rPr>
          <w:rFonts w:cs="Times New Roman"/>
          <w:szCs w:val="32"/>
        </w:rPr>
        <w:t>、数字商贸等数字产品服务</w:t>
      </w:r>
      <w:r>
        <w:rPr>
          <w:rFonts w:hint="eastAsia" w:cs="Times New Roman"/>
          <w:szCs w:val="32"/>
        </w:rPr>
        <w:t>业</w:t>
      </w:r>
      <w:r>
        <w:rPr>
          <w:rFonts w:cs="Times New Roman"/>
          <w:szCs w:val="32"/>
        </w:rPr>
        <w:t>，</w:t>
      </w:r>
      <w:r>
        <w:rPr>
          <w:rFonts w:hint="eastAsia" w:cs="Times New Roman"/>
          <w:szCs w:val="32"/>
        </w:rPr>
        <w:t>科学</w:t>
      </w:r>
      <w:r>
        <w:rPr>
          <w:rFonts w:cs="Times New Roman"/>
          <w:szCs w:val="32"/>
        </w:rPr>
        <w:t>布局第三代半导体、人工智能、区块链、脑机接口等新兴数字产业，鼓励人工智能OPC创业新范式。培育数字经济产业集聚区，支持华美信息产业园、集微产业创新基地、未来智谷等载体平台做特做专。</w:t>
      </w:r>
    </w:p>
    <w:p w14:paraId="25609106">
      <w:pPr>
        <w:pStyle w:val="30"/>
        <w:overflowPunct w:val="0"/>
        <w:ind w:firstLine="640"/>
        <w:textAlignment w:val="center"/>
        <w:rPr>
          <w:rFonts w:cs="Times New Roman"/>
          <w:szCs w:val="32"/>
        </w:rPr>
      </w:pPr>
      <w:r>
        <w:rPr>
          <w:rFonts w:eastAsia="楷体_GB2312" w:cs="Times New Roman"/>
        </w:rPr>
        <w:t>加速释放数据要素价值</w:t>
      </w:r>
      <w:r>
        <w:rPr>
          <w:rFonts w:cs="Times New Roman"/>
          <w:snapToGrid w:val="0"/>
          <w:kern w:val="0"/>
          <w:szCs w:val="32"/>
        </w:rPr>
        <w:t>。以区大数据集团为主体，统筹推进数据资源整合、运营与市场化开发，深化数据资源化、产品化、资产化改革。推进</w:t>
      </w:r>
      <w:r>
        <w:rPr>
          <w:rFonts w:cs="Times New Roman"/>
          <w:snapToGrid w:val="0"/>
          <w:szCs w:val="32"/>
        </w:rPr>
        <w:t>全区数字资源“一本账”管理，推动首席数据官制度部门全覆盖，推动政务数据共享开放利用，发布并动态更新政务数据目录，争取通过授权运营方式开展公共数据利用；支持企业开展数据采集，鼓励企业设立首席数据官。通过上级公共数据平台，建设利用人口、法人、电子证照、信用、空间地理等基础数据库，鼓励建设高端纺织、船舶海工等优势产业行业数据资源库，建立安全可信的数据共享机制。落实“数据要素×”行动，争取制造业、交通水利、城乡建设、文化旅游、市场监管等重点领域数据创新应用试点，鼓励企业开展产品开发、资产入表、产品融资等数据价值化实践。发展数据产业，培育数据可视化、</w:t>
      </w:r>
      <w:r>
        <w:rPr>
          <w:rFonts w:cs="Times New Roman"/>
          <w:szCs w:val="32"/>
        </w:rPr>
        <w:t>数据安全、数据经纪、数据托管、数据金融、数据资产评估等数据服务业态。“十五五”期间，力争数据产业产值年均增速超过20%。</w:t>
      </w:r>
    </w:p>
    <w:p w14:paraId="04A8471C">
      <w:pPr>
        <w:pStyle w:val="3"/>
        <w:rPr>
          <w:rFonts w:ascii="Times New Roman" w:hAnsi="Times New Roman" w:cs="Times New Roman"/>
        </w:rPr>
      </w:pPr>
      <w:bookmarkStart w:id="469" w:name="_Toc24658"/>
      <w:bookmarkStart w:id="470" w:name="_Toc28480"/>
      <w:bookmarkStart w:id="471" w:name="_Toc31307"/>
      <w:bookmarkStart w:id="472" w:name="_Toc5010"/>
      <w:bookmarkStart w:id="473" w:name="_Toc22091"/>
      <w:bookmarkStart w:id="474" w:name="_Toc28957"/>
      <w:bookmarkStart w:id="475" w:name="_Toc28690"/>
      <w:bookmarkStart w:id="476" w:name="_Toc28067"/>
      <w:bookmarkStart w:id="477" w:name="_Toc11580"/>
      <w:bookmarkStart w:id="478" w:name="_Toc24628"/>
      <w:bookmarkStart w:id="479" w:name="_Toc10884"/>
      <w:bookmarkStart w:id="480" w:name="_Toc22766"/>
      <w:bookmarkStart w:id="481" w:name="_Toc10198"/>
      <w:bookmarkStart w:id="482" w:name="_Toc29955"/>
      <w:r>
        <w:rPr>
          <w:rFonts w:ascii="Times New Roman" w:hAnsi="Times New Roman" w:cs="Times New Roman"/>
        </w:rPr>
        <w:t>第二节  强化产业数智化赋能</w:t>
      </w:r>
      <w:bookmarkEnd w:id="469"/>
      <w:bookmarkEnd w:id="470"/>
      <w:bookmarkEnd w:id="471"/>
      <w:bookmarkEnd w:id="472"/>
      <w:bookmarkEnd w:id="473"/>
      <w:bookmarkEnd w:id="474"/>
      <w:bookmarkEnd w:id="475"/>
      <w:bookmarkEnd w:id="476"/>
      <w:bookmarkEnd w:id="477"/>
      <w:bookmarkEnd w:id="478"/>
      <w:bookmarkEnd w:id="479"/>
      <w:bookmarkEnd w:id="480"/>
      <w:bookmarkEnd w:id="481"/>
      <w:bookmarkEnd w:id="482"/>
    </w:p>
    <w:p w14:paraId="46BCABED">
      <w:pPr>
        <w:rPr>
          <w:rFonts w:cs="Times New Roman"/>
          <w:snapToGrid w:val="0"/>
          <w:szCs w:val="32"/>
        </w:rPr>
      </w:pPr>
      <w:r>
        <w:rPr>
          <w:rFonts w:eastAsia="楷体_GB2312" w:cs="Times New Roman"/>
        </w:rPr>
        <w:t>深化制造业“智改数转网联”。</w:t>
      </w:r>
      <w:r>
        <w:rPr>
          <w:rFonts w:cs="Times New Roman"/>
          <w:szCs w:val="32"/>
        </w:rPr>
        <w:t>加快智能工厂梯度建设，推动基础级智能工厂规上企业全覆盖，更大规模推进先进级、卓越级和领航级智能工厂建设，</w:t>
      </w:r>
      <w:r>
        <w:rPr>
          <w:rFonts w:cs="Times New Roman"/>
          <w:snapToGrid w:val="0"/>
          <w:szCs w:val="32"/>
        </w:rPr>
        <w:t>分类分级建设一批5G全连接工厂，</w:t>
      </w:r>
      <w:r>
        <w:rPr>
          <w:rFonts w:cs="Times New Roman"/>
          <w:szCs w:val="32"/>
        </w:rPr>
        <w:t>争创“灯塔工厂”</w:t>
      </w:r>
      <w:r>
        <w:rPr>
          <w:rFonts w:cs="Times New Roman"/>
          <w:snapToGrid w:val="0"/>
          <w:szCs w:val="32"/>
        </w:rPr>
        <w:t>。支持中小企业应用低成本、轻量化、易部署的数字化综合解决方案，实施设备和业务上云，引导企业梯次开展初始级、规范级和集成级转型，争创省中小企业数字化转型县（市、区）试点。推动产业链“链式”转型，探索符合</w:t>
      </w:r>
      <w:r>
        <w:rPr>
          <w:rFonts w:hint="eastAsia" w:cs="Times New Roman"/>
          <w:snapToGrid w:val="0"/>
          <w:szCs w:val="32"/>
        </w:rPr>
        <w:t>新</w:t>
      </w:r>
      <w:r>
        <w:rPr>
          <w:rFonts w:cs="Times New Roman"/>
          <w:snapToGrid w:val="0"/>
          <w:szCs w:val="32"/>
        </w:rPr>
        <w:t>材料、船舶海工、高端纺织等产业发展特点的数智化转型路径，支持链主企业带动产业链协同技术改造、牵头实施数字化改造示范项目。加快发展工业互联网，鼓励龙头企业建设综合型、特色型、专业型企业级工业互联网，重点加快船舶、家纺领域工业互联网平台建设，推动“5G+工业互联网”深度融合。“十五五”期间，每年力争培育5G全连接工厂1</w:t>
      </w:r>
      <w:r>
        <w:rPr>
          <w:rFonts w:hint="eastAsia" w:cs="Times New Roman"/>
          <w:lang w:eastAsia="zh-CN"/>
        </w:rPr>
        <w:t>—</w:t>
      </w:r>
      <w:r>
        <w:rPr>
          <w:rFonts w:cs="Times New Roman"/>
          <w:snapToGrid w:val="0"/>
          <w:szCs w:val="32"/>
        </w:rPr>
        <w:t>2家，累计新增省级智能制造示范工厂（车间）20个、省企业级及以上工业互联网平台5个。</w:t>
      </w:r>
    </w:p>
    <w:p w14:paraId="4F1C8A20">
      <w:pPr>
        <w:rPr>
          <w:rFonts w:cs="Times New Roman"/>
          <w:kern w:val="32"/>
          <w:szCs w:val="32"/>
        </w:rPr>
      </w:pPr>
      <w:r>
        <w:rPr>
          <w:rFonts w:eastAsia="楷体_GB2312" w:cs="Times New Roman"/>
        </w:rPr>
        <w:t>加快人工智能赋能新业态。</w:t>
      </w:r>
      <w:r>
        <w:rPr>
          <w:rFonts w:cs="Times New Roman"/>
        </w:rPr>
        <w:t>以人工智能赋能产业发展、科技创新、民生事业和社会治理</w:t>
      </w:r>
      <w:r>
        <w:rPr>
          <w:rFonts w:cs="Times New Roman"/>
          <w:kern w:val="32"/>
          <w:szCs w:val="32"/>
        </w:rPr>
        <w:t>，推动形成“一业一策”“一场景一指南”。支持“海门AI+产业”场景开放，面向</w:t>
      </w:r>
      <w:r>
        <w:rPr>
          <w:rFonts w:hint="eastAsia" w:cs="Times New Roman"/>
          <w:kern w:val="32"/>
          <w:szCs w:val="32"/>
        </w:rPr>
        <w:t>新</w:t>
      </w:r>
      <w:r>
        <w:rPr>
          <w:rFonts w:cs="Times New Roman"/>
          <w:kern w:val="32"/>
          <w:szCs w:val="32"/>
        </w:rPr>
        <w:t>材料、海工船舶、高端纺织、生物医药、交通物流、文化旅游等产业，构建特色化行业垂直大模型和专用小模型，全链条推进人工智能场景策划、开发、路演、对接和落地推广，发布企业端场景“机会清单”和本地企业“能力清单”。积极培育人工智能赋能应用服务商，加强服务商在场景化模型开发、工具链定制等方面能力建设，</w:t>
      </w:r>
      <w:r>
        <w:rPr>
          <w:rFonts w:cs="Times New Roman"/>
          <w:snapToGrid w:val="0"/>
          <w:szCs w:val="32"/>
        </w:rPr>
        <w:t>探索发放“算力券”“模型券”。</w:t>
      </w:r>
    </w:p>
    <w:tbl>
      <w:tblPr>
        <w:tblStyle w:val="2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60"/>
      </w:tblGrid>
      <w:tr w14:paraId="1B4959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5" w:hRule="atLeast"/>
        </w:trPr>
        <w:tc>
          <w:tcPr>
            <w:tcW w:w="9060" w:type="dxa"/>
          </w:tcPr>
          <w:p w14:paraId="14EBBE1A">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eastAsia="黑体" w:cs="Times New Roman"/>
                <w:sz w:val="24"/>
                <w:shd w:val="clear" w:color="auto" w:fill="FFFFFF"/>
              </w:rPr>
            </w:pPr>
            <w:r>
              <w:rPr>
                <w:rFonts w:eastAsia="黑体" w:cs="Times New Roman"/>
                <w:sz w:val="24"/>
                <w:shd w:val="clear" w:color="auto" w:fill="FFFFFF"/>
              </w:rPr>
              <w:t>专栏12  人工智能赋能产业发展重点方向</w:t>
            </w:r>
          </w:p>
          <w:p w14:paraId="32E8A212">
            <w:pPr>
              <w:keepNext w:val="0"/>
              <w:keepLines w:val="0"/>
              <w:pageBreakBefore w:val="0"/>
              <w:widowControl w:val="0"/>
              <w:kinsoku/>
              <w:wordWrap/>
              <w:overflowPunct/>
              <w:topLinePunct w:val="0"/>
              <w:autoSpaceDE/>
              <w:autoSpaceDN/>
              <w:bidi w:val="0"/>
              <w:adjustRightInd/>
              <w:snapToGrid/>
              <w:spacing w:line="380" w:lineRule="exact"/>
              <w:ind w:firstLine="480"/>
              <w:textAlignment w:val="auto"/>
              <w:rPr>
                <w:rFonts w:cs="Times New Roman"/>
                <w:sz w:val="24"/>
                <w:shd w:val="clear" w:color="auto" w:fill="FFFFFF"/>
              </w:rPr>
            </w:pPr>
            <w:r>
              <w:rPr>
                <w:rFonts w:eastAsia="楷体_GB2312" w:cs="Times New Roman"/>
                <w:sz w:val="24"/>
                <w:shd w:val="clear" w:color="auto" w:fill="FFFFFF"/>
              </w:rPr>
              <w:t>人工智能+高技术船舶与海工装备。</w:t>
            </w:r>
            <w:r>
              <w:rPr>
                <w:rFonts w:cs="Times New Roman"/>
                <w:sz w:val="24"/>
                <w:shd w:val="clear" w:color="auto" w:fill="FFFFFF"/>
              </w:rPr>
              <w:t>探索智能船舶、自主船舶技术应用和发展路径，支持建设高性能计算中心、可视化数字孪生研究室等数字化平台，开展Net-ship智能船舶平台解决方案、智能工厂综合管理平台等智能化项目。</w:t>
            </w:r>
          </w:p>
          <w:p w14:paraId="219E4FFA">
            <w:pPr>
              <w:keepNext w:val="0"/>
              <w:keepLines w:val="0"/>
              <w:pageBreakBefore w:val="0"/>
              <w:widowControl w:val="0"/>
              <w:kinsoku/>
              <w:wordWrap/>
              <w:overflowPunct/>
              <w:topLinePunct w:val="0"/>
              <w:autoSpaceDE/>
              <w:autoSpaceDN/>
              <w:bidi w:val="0"/>
              <w:adjustRightInd/>
              <w:snapToGrid/>
              <w:spacing w:line="380" w:lineRule="exact"/>
              <w:ind w:firstLine="480"/>
              <w:textAlignment w:val="auto"/>
              <w:rPr>
                <w:rFonts w:cs="Times New Roman"/>
                <w:sz w:val="24"/>
                <w:shd w:val="clear" w:color="auto" w:fill="FFFFFF"/>
              </w:rPr>
            </w:pPr>
            <w:r>
              <w:rPr>
                <w:rFonts w:eastAsia="楷体_GB2312" w:cs="Times New Roman"/>
                <w:sz w:val="24"/>
                <w:shd w:val="clear" w:color="auto" w:fill="FFFFFF"/>
              </w:rPr>
              <w:t>人工智能+生命健康。</w:t>
            </w:r>
            <w:r>
              <w:rPr>
                <w:rFonts w:cs="Times New Roman"/>
                <w:sz w:val="24"/>
                <w:shd w:val="clear" w:color="auto" w:fill="FFFFFF"/>
              </w:rPr>
              <w:t>在药物研发生产服务、药物设计、药物筛选、临床试验、安全保障等环节加大人工智能技术应用，打造智能临床研究协同、大规模可定制性中试生产、智能生产过程质量监控、产品质量回顾与优化等应用场景。</w:t>
            </w:r>
          </w:p>
          <w:p w14:paraId="516EEF94">
            <w:pPr>
              <w:keepNext w:val="0"/>
              <w:keepLines w:val="0"/>
              <w:pageBreakBefore w:val="0"/>
              <w:widowControl w:val="0"/>
              <w:kinsoku/>
              <w:wordWrap/>
              <w:overflowPunct/>
              <w:topLinePunct w:val="0"/>
              <w:autoSpaceDE/>
              <w:autoSpaceDN/>
              <w:bidi w:val="0"/>
              <w:adjustRightInd/>
              <w:snapToGrid/>
              <w:spacing w:line="380" w:lineRule="exact"/>
              <w:ind w:firstLine="480"/>
              <w:textAlignment w:val="auto"/>
              <w:rPr>
                <w:rFonts w:cs="Times New Roman"/>
                <w:sz w:val="24"/>
                <w:shd w:val="clear" w:color="auto" w:fill="FFFFFF"/>
              </w:rPr>
            </w:pPr>
            <w:r>
              <w:rPr>
                <w:rFonts w:eastAsia="楷体_GB2312" w:cs="Times New Roman"/>
                <w:sz w:val="24"/>
                <w:shd w:val="clear" w:color="auto" w:fill="FFFFFF"/>
              </w:rPr>
              <w:t>人工智能+高端纺织。</w:t>
            </w:r>
            <w:r>
              <w:rPr>
                <w:rFonts w:cs="Times New Roman"/>
                <w:sz w:val="24"/>
                <w:shd w:val="clear" w:color="auto" w:fill="FFFFFF"/>
              </w:rPr>
              <w:t>在研发设计、颜色精准识别、快速打样等环节加大人工智能应用，鼓励企业积极应用纺织专用算法与智能装备，加强图像生成、缺陷检测等机器视觉技术应用。</w:t>
            </w:r>
          </w:p>
          <w:p w14:paraId="27E9DEBA">
            <w:pPr>
              <w:keepNext w:val="0"/>
              <w:keepLines w:val="0"/>
              <w:pageBreakBefore w:val="0"/>
              <w:widowControl w:val="0"/>
              <w:kinsoku/>
              <w:wordWrap/>
              <w:overflowPunct/>
              <w:topLinePunct w:val="0"/>
              <w:autoSpaceDE/>
              <w:autoSpaceDN/>
              <w:bidi w:val="0"/>
              <w:adjustRightInd/>
              <w:snapToGrid/>
              <w:spacing w:line="380" w:lineRule="exact"/>
              <w:ind w:firstLine="480"/>
              <w:textAlignment w:val="auto"/>
              <w:rPr>
                <w:rFonts w:cs="Times New Roman"/>
                <w:sz w:val="24"/>
                <w:shd w:val="clear" w:color="auto" w:fill="FFFFFF"/>
              </w:rPr>
            </w:pPr>
            <w:r>
              <w:rPr>
                <w:rFonts w:eastAsia="楷体_GB2312" w:cs="Times New Roman"/>
                <w:sz w:val="24"/>
                <w:shd w:val="clear" w:color="auto" w:fill="FFFFFF"/>
              </w:rPr>
              <w:t>人工智能+</w:t>
            </w:r>
            <w:r>
              <w:rPr>
                <w:rFonts w:hint="eastAsia" w:eastAsia="楷体_GB2312" w:cs="Times New Roman"/>
                <w:sz w:val="24"/>
                <w:shd w:val="clear" w:color="auto" w:fill="FFFFFF"/>
              </w:rPr>
              <w:t>新</w:t>
            </w:r>
            <w:r>
              <w:rPr>
                <w:rFonts w:eastAsia="楷体_GB2312" w:cs="Times New Roman"/>
                <w:sz w:val="24"/>
                <w:shd w:val="clear" w:color="auto" w:fill="FFFFFF"/>
              </w:rPr>
              <w:t>材料。</w:t>
            </w:r>
            <w:r>
              <w:rPr>
                <w:rFonts w:cs="Times New Roman"/>
                <w:sz w:val="24"/>
                <w:shd w:val="clear" w:color="auto" w:fill="FFFFFF"/>
              </w:rPr>
              <w:t>打造材料性能预测、生产调度优化、过程模拟仿真、质量安全保障等典型场景，鼓励建设计算研发、测试评价、生产应用等领域智能平台，依托AI技术推动材料研发模式变革。</w:t>
            </w:r>
          </w:p>
          <w:p w14:paraId="521256DE">
            <w:pPr>
              <w:keepNext w:val="0"/>
              <w:keepLines w:val="0"/>
              <w:pageBreakBefore w:val="0"/>
              <w:widowControl w:val="0"/>
              <w:kinsoku/>
              <w:wordWrap/>
              <w:overflowPunct/>
              <w:topLinePunct w:val="0"/>
              <w:autoSpaceDE/>
              <w:autoSpaceDN/>
              <w:bidi w:val="0"/>
              <w:adjustRightInd/>
              <w:snapToGrid/>
              <w:spacing w:line="380" w:lineRule="exact"/>
              <w:ind w:firstLine="480"/>
              <w:textAlignment w:val="auto"/>
              <w:rPr>
                <w:rFonts w:cs="Times New Roman"/>
                <w:sz w:val="24"/>
                <w:shd w:val="clear" w:color="auto" w:fill="FFFFFF"/>
              </w:rPr>
            </w:pPr>
            <w:r>
              <w:rPr>
                <w:rFonts w:eastAsia="楷体_GB2312" w:cs="Times New Roman"/>
                <w:sz w:val="24"/>
                <w:shd w:val="clear" w:color="auto" w:fill="FFFFFF"/>
              </w:rPr>
              <w:t>人工智能+高端装备。</w:t>
            </w:r>
            <w:r>
              <w:rPr>
                <w:rFonts w:cs="Times New Roman"/>
                <w:sz w:val="24"/>
                <w:shd w:val="clear" w:color="auto" w:fill="FFFFFF"/>
              </w:rPr>
              <w:t>支持在智能辅助设计、智能排产与调度、智能加工与控制、远程运维管理等环节开展人工智能应用。鼓励企业加强工艺过程监测、设备精度预测和工艺参数自适应优化等应用，提升设备精准性。</w:t>
            </w:r>
          </w:p>
          <w:p w14:paraId="249B5F90">
            <w:pPr>
              <w:keepNext w:val="0"/>
              <w:keepLines w:val="0"/>
              <w:pageBreakBefore w:val="0"/>
              <w:widowControl w:val="0"/>
              <w:kinsoku/>
              <w:wordWrap/>
              <w:overflowPunct/>
              <w:topLinePunct w:val="0"/>
              <w:autoSpaceDE/>
              <w:autoSpaceDN/>
              <w:bidi w:val="0"/>
              <w:adjustRightInd/>
              <w:snapToGrid/>
              <w:spacing w:line="380" w:lineRule="exact"/>
              <w:ind w:firstLine="480"/>
              <w:textAlignment w:val="auto"/>
              <w:rPr>
                <w:rFonts w:cs="Times New Roman"/>
                <w:sz w:val="24"/>
                <w:shd w:val="clear" w:color="auto" w:fill="FFFFFF"/>
              </w:rPr>
            </w:pPr>
            <w:r>
              <w:rPr>
                <w:rFonts w:eastAsia="楷体_GB2312" w:cs="Times New Roman"/>
                <w:sz w:val="24"/>
                <w:shd w:val="clear" w:color="auto" w:fill="FFFFFF"/>
              </w:rPr>
              <w:t>人工智能+建筑。</w:t>
            </w:r>
            <w:r>
              <w:rPr>
                <w:rFonts w:cs="Times New Roman"/>
                <w:sz w:val="24"/>
                <w:shd w:val="clear" w:color="auto" w:fill="FFFFFF"/>
              </w:rPr>
              <w:t>有序推进BIM技术在建设项目规划、勘察、设计、施工和运维全过程集成应用，探索以AIGC</w:t>
            </w:r>
            <w:r>
              <w:rPr>
                <w:rFonts w:hint="eastAsia" w:cs="Times New Roman"/>
                <w:sz w:val="24"/>
                <w:shd w:val="clear" w:color="auto" w:fill="FFFFFF"/>
              </w:rPr>
              <w:t>辅助生成BIM模型</w:t>
            </w:r>
            <w:r>
              <w:rPr>
                <w:rFonts w:cs="Times New Roman"/>
                <w:sz w:val="24"/>
                <w:shd w:val="clear" w:color="auto" w:fill="FFFFFF"/>
              </w:rPr>
              <w:t>，探索智能建造标准和技术研发，推动建筑机器人研发应用，推进建设智慧化住宅。</w:t>
            </w:r>
          </w:p>
          <w:p w14:paraId="77ADD3C7">
            <w:pPr>
              <w:keepNext w:val="0"/>
              <w:keepLines w:val="0"/>
              <w:pageBreakBefore w:val="0"/>
              <w:widowControl w:val="0"/>
              <w:kinsoku/>
              <w:wordWrap/>
              <w:overflowPunct/>
              <w:topLinePunct w:val="0"/>
              <w:autoSpaceDE/>
              <w:autoSpaceDN/>
              <w:bidi w:val="0"/>
              <w:adjustRightInd/>
              <w:snapToGrid/>
              <w:spacing w:line="380" w:lineRule="exact"/>
              <w:ind w:firstLine="480"/>
              <w:textAlignment w:val="auto"/>
              <w:rPr>
                <w:rFonts w:eastAsia="方正仿宋_GBK" w:cs="Times New Roman"/>
                <w:sz w:val="24"/>
                <w:shd w:val="clear" w:color="auto" w:fill="FFFFFF"/>
              </w:rPr>
            </w:pPr>
            <w:r>
              <w:rPr>
                <w:rFonts w:eastAsia="楷体_GB2312" w:cs="Times New Roman"/>
                <w:sz w:val="24"/>
                <w:shd w:val="clear" w:color="auto" w:fill="FFFFFF"/>
              </w:rPr>
              <w:t>人工智能+服务业。</w:t>
            </w:r>
            <w:r>
              <w:rPr>
                <w:rFonts w:cs="Times New Roman"/>
                <w:sz w:val="24"/>
                <w:shd w:val="clear" w:color="auto" w:fill="FFFFFF"/>
              </w:rPr>
              <w:t>发展在线研发、智慧物流、在线检测、工业电商等生产性服务业领域在线新经济，面向信息、金融、商务、物流等领域，推广模型驱动的智能体服务。构建“数字+生活服务”生态体系，探索无人服务与人工服务相结合的新模式。</w:t>
            </w:r>
          </w:p>
          <w:p w14:paraId="62A26989">
            <w:pPr>
              <w:keepNext w:val="0"/>
              <w:keepLines w:val="0"/>
              <w:pageBreakBefore w:val="0"/>
              <w:widowControl w:val="0"/>
              <w:kinsoku/>
              <w:wordWrap/>
              <w:overflowPunct/>
              <w:topLinePunct w:val="0"/>
              <w:autoSpaceDE/>
              <w:autoSpaceDN/>
              <w:bidi w:val="0"/>
              <w:adjustRightInd/>
              <w:snapToGrid/>
              <w:spacing w:line="380" w:lineRule="exact"/>
              <w:ind w:firstLine="480"/>
              <w:textAlignment w:val="auto"/>
              <w:rPr>
                <w:rFonts w:cs="Times New Roman"/>
                <w:sz w:val="24"/>
                <w:shd w:val="clear" w:color="auto" w:fill="FFFFFF"/>
              </w:rPr>
            </w:pPr>
            <w:r>
              <w:rPr>
                <w:rFonts w:eastAsia="楷体_GB2312" w:cs="Times New Roman"/>
                <w:sz w:val="24"/>
                <w:shd w:val="clear" w:color="auto" w:fill="FFFFFF"/>
              </w:rPr>
              <w:t>人工智能+农业。</w:t>
            </w:r>
            <w:r>
              <w:rPr>
                <w:rFonts w:cs="Times New Roman"/>
                <w:sz w:val="24"/>
                <w:shd w:val="clear" w:color="auto" w:fill="FFFFFF"/>
              </w:rPr>
              <w:t>利用AI技术分析农田土壤、气象、作物生长等数据，加强智能农机、农业无人机、农业机器人等智能装备应用，推广农田自适应感知、智慧农场大脑等规模化作业新技术，建设一批数字农场、智慧化设施棚室。</w:t>
            </w:r>
          </w:p>
          <w:p w14:paraId="0BB78A82">
            <w:pPr>
              <w:keepNext w:val="0"/>
              <w:keepLines w:val="0"/>
              <w:pageBreakBefore w:val="0"/>
              <w:widowControl w:val="0"/>
              <w:kinsoku/>
              <w:wordWrap/>
              <w:overflowPunct/>
              <w:topLinePunct w:val="0"/>
              <w:autoSpaceDE/>
              <w:autoSpaceDN/>
              <w:bidi w:val="0"/>
              <w:adjustRightInd/>
              <w:snapToGrid/>
              <w:spacing w:line="380" w:lineRule="exact"/>
              <w:ind w:firstLine="480"/>
              <w:textAlignment w:val="auto"/>
              <w:rPr>
                <w:rFonts w:cs="Times New Roman"/>
                <w:sz w:val="24"/>
                <w:shd w:val="clear" w:color="auto" w:fill="FFFFFF"/>
              </w:rPr>
            </w:pPr>
            <w:r>
              <w:rPr>
                <w:rFonts w:eastAsia="楷体_GB2312" w:cs="Times New Roman"/>
                <w:sz w:val="24"/>
                <w:shd w:val="clear" w:color="auto" w:fill="FFFFFF"/>
              </w:rPr>
              <w:t>人工智能+消费</w:t>
            </w:r>
            <w:r>
              <w:rPr>
                <w:rFonts w:cs="Times New Roman"/>
                <w:sz w:val="24"/>
                <w:shd w:val="clear" w:color="auto" w:fill="FFFFFF"/>
              </w:rPr>
              <w:t>。开展智慧商圈、智慧商店等建设，依托智能算法，助力零售业态基于人货场实现场景数字化、自动化、智能化，开展基于AI助理的个性化推荐，探索建设“数字人直播间”。</w:t>
            </w:r>
          </w:p>
        </w:tc>
      </w:tr>
    </w:tbl>
    <w:p w14:paraId="67FFEBAC">
      <w:pPr>
        <w:pStyle w:val="3"/>
        <w:rPr>
          <w:rFonts w:ascii="Times New Roman" w:hAnsi="Times New Roman" w:cs="Times New Roman"/>
        </w:rPr>
      </w:pPr>
      <w:bookmarkStart w:id="483" w:name="_Toc2193"/>
      <w:bookmarkStart w:id="484" w:name="_Toc10447"/>
      <w:bookmarkStart w:id="485" w:name="_Toc31854"/>
      <w:bookmarkStart w:id="486" w:name="_Toc636"/>
      <w:bookmarkStart w:id="487" w:name="_Toc19915"/>
      <w:bookmarkStart w:id="488" w:name="_Toc1069"/>
      <w:bookmarkStart w:id="489" w:name="_Toc9990"/>
      <w:bookmarkStart w:id="490" w:name="_Toc7568"/>
      <w:bookmarkStart w:id="491" w:name="_Toc29919"/>
      <w:bookmarkStart w:id="492" w:name="_Toc15999"/>
      <w:bookmarkStart w:id="493" w:name="_Toc26874"/>
      <w:bookmarkStart w:id="494" w:name="_Toc20497"/>
      <w:bookmarkStart w:id="495" w:name="_Toc19769"/>
      <w:bookmarkStart w:id="496" w:name="_Toc16049"/>
      <w:r>
        <w:rPr>
          <w:rFonts w:ascii="Times New Roman" w:hAnsi="Times New Roman" w:cs="Times New Roman"/>
        </w:rPr>
        <w:t>第三节  建设高效便捷的智能社会</w:t>
      </w:r>
      <w:bookmarkEnd w:id="483"/>
      <w:bookmarkEnd w:id="484"/>
      <w:bookmarkEnd w:id="485"/>
      <w:bookmarkEnd w:id="486"/>
      <w:bookmarkEnd w:id="487"/>
      <w:bookmarkEnd w:id="488"/>
      <w:bookmarkEnd w:id="489"/>
      <w:bookmarkEnd w:id="490"/>
      <w:bookmarkEnd w:id="491"/>
      <w:bookmarkEnd w:id="492"/>
      <w:bookmarkEnd w:id="493"/>
      <w:bookmarkEnd w:id="494"/>
      <w:bookmarkEnd w:id="495"/>
      <w:bookmarkEnd w:id="496"/>
    </w:p>
    <w:p w14:paraId="60010730">
      <w:pPr>
        <w:rPr>
          <w:rFonts w:cs="Times New Roman"/>
          <w:snapToGrid w:val="0"/>
          <w:szCs w:val="32"/>
        </w:rPr>
      </w:pPr>
      <w:r>
        <w:rPr>
          <w:rFonts w:eastAsia="楷体_GB2312" w:cs="Times New Roman"/>
        </w:rPr>
        <w:t>提升数字政府建设效能。</w:t>
      </w:r>
      <w:r>
        <w:rPr>
          <w:rFonts w:cs="Times New Roman"/>
        </w:rPr>
        <w:t>升级优化政务“一张网”、政务“一朵云”和政务数据“一平台”，纵深推进政务服务“一网通办”“一网协同”。</w:t>
      </w:r>
      <w:r>
        <w:rPr>
          <w:rFonts w:cs="Times New Roman"/>
          <w:snapToGrid w:val="0"/>
          <w:szCs w:val="32"/>
        </w:rPr>
        <w:t>发挥电子政务工作平台统一支撑和服务优势，推动全区非涉密政务信息系统逐步整合至市级政务云平台，</w:t>
      </w:r>
      <w:r>
        <w:rPr>
          <w:rFonts w:cs="Times New Roman"/>
        </w:rPr>
        <w:t>实施新一代电子政务外网建设工程。积极对接“苏在线”数据直达专区，推动垂管系统数据回流。</w:t>
      </w:r>
      <w:r>
        <w:rPr>
          <w:rFonts w:cs="Times New Roman"/>
          <w:snapToGrid w:val="0"/>
          <w:szCs w:val="32"/>
        </w:rPr>
        <w:t>加强江苏政务服务网海门站、</w:t>
      </w:r>
      <w:r>
        <w:rPr>
          <w:rFonts w:cs="Times New Roman"/>
        </w:rPr>
        <w:t>“南通百通APP”海门频道建设，接入更多本地特色便民利企移动应用，持续拓展“一个APP管服务”惠民利企应用场景。依托长三角“一网通办”远程虚拟窗口，开展企业办理、不动产登记等高频事项远程办理，探索开展跨层级、跨区域远程视频导办。</w:t>
      </w:r>
      <w:r>
        <w:rPr>
          <w:rFonts w:cs="Times New Roman"/>
          <w:snapToGrid w:val="0"/>
          <w:szCs w:val="32"/>
        </w:rPr>
        <w:t>优化政务协同办公平台功能，实现政府内部运行数字化、移动化。</w:t>
      </w:r>
    </w:p>
    <w:p w14:paraId="227DB73F">
      <w:pPr>
        <w:rPr>
          <w:rFonts w:cs="Times New Roman"/>
        </w:rPr>
      </w:pPr>
      <w:r>
        <w:rPr>
          <w:rFonts w:eastAsia="楷体_GB2312" w:cs="Times New Roman"/>
        </w:rPr>
        <w:t>构筑美好数智生活。</w:t>
      </w:r>
      <w:r>
        <w:rPr>
          <w:rFonts w:cs="Times New Roman"/>
          <w:spacing w:val="6"/>
        </w:rPr>
        <w:t>积极构建数智化生活场景，推进公共服务设施智能化升级、物联网应用，运用数智技术提高公共服务供给能力，</w:t>
      </w:r>
      <w:r>
        <w:rPr>
          <w:rFonts w:cs="Times New Roman"/>
        </w:rPr>
        <w:t>打造“15分钟数字生活圈”</w:t>
      </w:r>
      <w:r>
        <w:rPr>
          <w:rFonts w:cs="Times New Roman"/>
          <w:spacing w:val="6"/>
        </w:rPr>
        <w:t>。</w:t>
      </w:r>
      <w:r>
        <w:rPr>
          <w:rFonts w:cs="Times New Roman"/>
        </w:rPr>
        <w:t>开展教师数智应用能力专项培训，打造精准教学、个性化学习等教育场景，</w:t>
      </w:r>
      <w:r>
        <w:rPr>
          <w:rFonts w:cs="Times New Roman"/>
          <w:spacing w:val="6"/>
        </w:rPr>
        <w:t>推进远程诊疗、互联网健康咨询等广泛使用，</w:t>
      </w:r>
      <w:r>
        <w:rPr>
          <w:rFonts w:cs="Times New Roman"/>
        </w:rPr>
        <w:t>支持发展智慧养老</w:t>
      </w:r>
      <w:r>
        <w:rPr>
          <w:rFonts w:cs="Times New Roman"/>
          <w:spacing w:val="6"/>
        </w:rPr>
        <w:t>，</w:t>
      </w:r>
      <w:r>
        <w:rPr>
          <w:rFonts w:cs="Times New Roman"/>
        </w:rPr>
        <w:t>推动公共文化数字化发展。强化智慧出行服务供给，拓展婚姻、殡葬、社会工作、志愿服务等领域智能化应用。提升居民数字素养和数字技能。</w:t>
      </w:r>
    </w:p>
    <w:p w14:paraId="4BEBBA90">
      <w:pPr>
        <w:bidi w:val="0"/>
      </w:pPr>
      <w:r>
        <w:rPr>
          <w:rFonts w:eastAsia="楷体_GB2312" w:cs="Times New Roman"/>
        </w:rPr>
        <w:t>强化数智化治理。</w:t>
      </w:r>
      <w:r>
        <w:t>完善城市管理统筹协调机制，加强城市数据汇聚共享和利用开发，显著提升城市运行管理服务平台效能。加强人工智能在治安防控、应急指挥、自然资源、生态环境、交通治理、城市管理等领域应用，推动智慧城管、智慧环保、智慧交通、数字法院等场景应用。顺应数字化趋势加强对数字人、智能机器人的公共安全治理。</w:t>
      </w:r>
    </w:p>
    <w:tbl>
      <w:tblPr>
        <w:tblStyle w:val="2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60"/>
      </w:tblGrid>
      <w:tr w14:paraId="63550A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60" w:type="dxa"/>
          </w:tcPr>
          <w:p w14:paraId="2D60F583">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eastAsia="黑体" w:cs="Times New Roman"/>
                <w:sz w:val="24"/>
                <w:szCs w:val="21"/>
              </w:rPr>
            </w:pPr>
            <w:r>
              <w:rPr>
                <w:rFonts w:eastAsia="黑体" w:cs="Times New Roman"/>
                <w:sz w:val="24"/>
                <w:szCs w:val="21"/>
              </w:rPr>
              <w:t>专栏13  数智民生重点领域</w:t>
            </w:r>
          </w:p>
          <w:p w14:paraId="7BB77C33">
            <w:pPr>
              <w:keepNext w:val="0"/>
              <w:keepLines w:val="0"/>
              <w:pageBreakBefore w:val="0"/>
              <w:widowControl w:val="0"/>
              <w:kinsoku/>
              <w:wordWrap/>
              <w:overflowPunct/>
              <w:topLinePunct w:val="0"/>
              <w:autoSpaceDE/>
              <w:autoSpaceDN/>
              <w:bidi w:val="0"/>
              <w:adjustRightInd/>
              <w:snapToGrid/>
              <w:spacing w:line="400" w:lineRule="exact"/>
              <w:ind w:firstLine="480"/>
              <w:textAlignment w:val="auto"/>
              <w:rPr>
                <w:rFonts w:cs="Times New Roman"/>
                <w:sz w:val="24"/>
                <w:szCs w:val="21"/>
              </w:rPr>
            </w:pPr>
            <w:r>
              <w:rPr>
                <w:rFonts w:eastAsia="楷体_GB2312" w:cs="Times New Roman"/>
                <w:sz w:val="24"/>
                <w:szCs w:val="21"/>
              </w:rPr>
              <w:t>智慧教育。</w:t>
            </w:r>
            <w:r>
              <w:rPr>
                <w:rFonts w:cs="Times New Roman"/>
                <w:sz w:val="24"/>
                <w:szCs w:val="21"/>
              </w:rPr>
              <w:t>放大海门教育资源优势，推进教育语料库、教育图谱、教育领域垂直模型、教育智能体等资源创建。开展教师数智应用能力专项培训。建设智慧教研平台，开展跨校网络教研与同步课堂。</w:t>
            </w:r>
          </w:p>
          <w:p w14:paraId="4924BA05">
            <w:pPr>
              <w:keepNext w:val="0"/>
              <w:keepLines w:val="0"/>
              <w:pageBreakBefore w:val="0"/>
              <w:widowControl w:val="0"/>
              <w:kinsoku/>
              <w:wordWrap/>
              <w:overflowPunct/>
              <w:topLinePunct w:val="0"/>
              <w:autoSpaceDE/>
              <w:autoSpaceDN/>
              <w:bidi w:val="0"/>
              <w:adjustRightInd/>
              <w:snapToGrid/>
              <w:spacing w:line="400" w:lineRule="exact"/>
              <w:ind w:firstLine="480"/>
              <w:textAlignment w:val="auto"/>
              <w:rPr>
                <w:rFonts w:cs="Times New Roman"/>
                <w:sz w:val="24"/>
                <w:szCs w:val="21"/>
              </w:rPr>
            </w:pPr>
            <w:r>
              <w:rPr>
                <w:rFonts w:eastAsia="楷体_GB2312" w:cs="Times New Roman"/>
                <w:sz w:val="24"/>
                <w:szCs w:val="21"/>
              </w:rPr>
              <w:t>智慧医疗。</w:t>
            </w:r>
            <w:r>
              <w:rPr>
                <w:rFonts w:cs="Times New Roman"/>
                <w:sz w:val="24"/>
                <w:szCs w:val="21"/>
              </w:rPr>
              <w:t>完善全民健康信息平台及业务系统，统筹卫生健康云建设，重点建设云影像平台管理中心，依托省卫生健康影像平台，进一步扩大全区公立医院接入范围，推动</w:t>
            </w:r>
            <w:r>
              <w:rPr>
                <w:rFonts w:hint="eastAsia" w:cs="Times New Roman"/>
                <w:sz w:val="24"/>
                <w:szCs w:val="21"/>
              </w:rPr>
              <w:t>区内</w:t>
            </w:r>
            <w:r>
              <w:rPr>
                <w:rFonts w:cs="Times New Roman"/>
                <w:sz w:val="24"/>
                <w:szCs w:val="21"/>
              </w:rPr>
              <w:t>医疗机构间影像结果</w:t>
            </w:r>
            <w:r>
              <w:rPr>
                <w:rFonts w:hint="eastAsia" w:cs="Times New Roman"/>
                <w:sz w:val="24"/>
                <w:szCs w:val="21"/>
              </w:rPr>
              <w:t>共享</w:t>
            </w:r>
            <w:r>
              <w:rPr>
                <w:rFonts w:cs="Times New Roman"/>
                <w:sz w:val="24"/>
                <w:szCs w:val="21"/>
              </w:rPr>
              <w:t>互认。推进“互联网+医疗健康”“AI+医疗”，重点支持人民医院建设远程医疗协作网、健康数据共享中心。</w:t>
            </w:r>
          </w:p>
          <w:p w14:paraId="210137A5">
            <w:pPr>
              <w:keepNext w:val="0"/>
              <w:keepLines w:val="0"/>
              <w:pageBreakBefore w:val="0"/>
              <w:widowControl w:val="0"/>
              <w:kinsoku/>
              <w:wordWrap/>
              <w:overflowPunct/>
              <w:topLinePunct w:val="0"/>
              <w:autoSpaceDE/>
              <w:autoSpaceDN/>
              <w:bidi w:val="0"/>
              <w:adjustRightInd/>
              <w:snapToGrid/>
              <w:spacing w:line="400" w:lineRule="exact"/>
              <w:ind w:firstLine="480"/>
              <w:textAlignment w:val="auto"/>
              <w:rPr>
                <w:rFonts w:cs="Times New Roman"/>
                <w:sz w:val="24"/>
                <w:szCs w:val="21"/>
              </w:rPr>
            </w:pPr>
            <w:r>
              <w:rPr>
                <w:rFonts w:eastAsia="楷体_GB2312" w:cs="Times New Roman"/>
                <w:sz w:val="24"/>
                <w:szCs w:val="21"/>
              </w:rPr>
              <w:t>智慧养老。</w:t>
            </w:r>
            <w:r>
              <w:rPr>
                <w:rFonts w:cs="Times New Roman"/>
                <w:sz w:val="24"/>
                <w:szCs w:val="21"/>
              </w:rPr>
              <w:t>开展“互联网+居家养老服务”，推广运用生活照料与康复理疗智能机器人等设备，支持智慧养老机构建设。实施工信部、民政部智能养老服务机器人结对攻关与场景应用试点项目。</w:t>
            </w:r>
          </w:p>
          <w:p w14:paraId="46C08903">
            <w:pPr>
              <w:keepNext w:val="0"/>
              <w:keepLines w:val="0"/>
              <w:pageBreakBefore w:val="0"/>
              <w:widowControl w:val="0"/>
              <w:kinsoku/>
              <w:wordWrap/>
              <w:overflowPunct/>
              <w:topLinePunct w:val="0"/>
              <w:autoSpaceDE/>
              <w:autoSpaceDN/>
              <w:bidi w:val="0"/>
              <w:adjustRightInd/>
              <w:snapToGrid/>
              <w:spacing w:line="400" w:lineRule="exact"/>
              <w:ind w:firstLine="480"/>
              <w:textAlignment w:val="auto"/>
              <w:rPr>
                <w:rFonts w:cs="Times New Roman"/>
                <w:sz w:val="24"/>
                <w:szCs w:val="21"/>
              </w:rPr>
            </w:pPr>
            <w:r>
              <w:rPr>
                <w:rFonts w:eastAsia="楷体_GB2312" w:cs="Times New Roman"/>
                <w:sz w:val="24"/>
                <w:szCs w:val="21"/>
              </w:rPr>
              <w:t>数字文化。</w:t>
            </w:r>
            <w:r>
              <w:rPr>
                <w:rFonts w:cs="Times New Roman"/>
                <w:sz w:val="24"/>
                <w:szCs w:val="21"/>
              </w:rPr>
              <w:t>推动公共数字文化工程融合创新发展，深化拓展“互联网+公共文化服务”，鼓励发展数字图书馆、数字文化馆、数字博物馆，运用新媒体、VR等载体手段，打造线上展览展示展演项目。</w:t>
            </w:r>
          </w:p>
        </w:tc>
      </w:tr>
    </w:tbl>
    <w:p w14:paraId="50787653">
      <w:pPr>
        <w:rPr>
          <w:rFonts w:eastAsia="楷体_GB2312" w:cs="Times New Roman"/>
        </w:rPr>
      </w:pPr>
    </w:p>
    <w:p w14:paraId="386025E5">
      <w:pPr>
        <w:rPr>
          <w:rFonts w:cs="Times New Roman"/>
          <w:snapToGrid w:val="0"/>
          <w:szCs w:val="32"/>
        </w:rPr>
        <w:sectPr>
          <w:pgSz w:w="11906" w:h="16838"/>
          <w:pgMar w:top="1814" w:right="1531" w:bottom="1984" w:left="1531" w:header="510" w:footer="1474" w:gutter="0"/>
          <w:cols w:space="0" w:num="1"/>
          <w:docGrid w:type="lines" w:linePitch="312" w:charSpace="0"/>
        </w:sectPr>
      </w:pPr>
      <w:r>
        <w:rPr>
          <w:rFonts w:eastAsia="楷体_GB2312" w:cs="Times New Roman"/>
        </w:rPr>
        <w:t>强化数字新基建有力支撑。</w:t>
      </w:r>
      <w:r>
        <w:rPr>
          <w:rFonts w:cs="Times New Roman"/>
          <w:snapToGrid w:val="0"/>
          <w:szCs w:val="32"/>
        </w:rPr>
        <w:t>加大双千兆光网建设力度，提升重点区域、重点场所优质5G网络连片覆盖，推进万兆光网和5G-A网络布局，实现行政村5G信号全覆盖、省级园区“万兆园区”全覆盖，研究低空通信网络建设需求，支撑低空经济发展。推动城区和重点乡镇10G-PON设备规模部署，持续开展OLT上联组网优化。支持工业企业灵活部署5G专网、工业PON等技术应用，建设企业内网。推进重点门户网站IPv6升级改造，基本建成IPv6技术、应用和安全体系。优化算力布局，推进博浩海门算力中心建设，探索推进智能计算中心、边缘数据中心建设，推进数据中心节能改造。前瞻布局车联网、能源互联网。</w:t>
      </w:r>
    </w:p>
    <w:p w14:paraId="5B9A9091">
      <w:pPr>
        <w:pStyle w:val="2"/>
        <w:rPr>
          <w:rFonts w:ascii="Times New Roman" w:hAnsi="Times New Roman" w:cs="Times New Roman"/>
        </w:rPr>
      </w:pPr>
      <w:bookmarkStart w:id="497" w:name="_Toc19268"/>
      <w:bookmarkStart w:id="498" w:name="_Toc18820"/>
      <w:bookmarkStart w:id="499" w:name="_Toc8359"/>
      <w:bookmarkStart w:id="500" w:name="_Toc32274"/>
      <w:bookmarkStart w:id="501" w:name="_Toc820"/>
      <w:bookmarkStart w:id="502" w:name="_Toc19621"/>
      <w:bookmarkStart w:id="503" w:name="_Toc21321"/>
      <w:bookmarkStart w:id="504" w:name="_Toc2423"/>
      <w:bookmarkStart w:id="505" w:name="_Toc17937"/>
      <w:bookmarkStart w:id="506" w:name="_Toc11573"/>
      <w:bookmarkStart w:id="507" w:name="_Toc20695"/>
      <w:bookmarkStart w:id="508" w:name="_Toc344"/>
      <w:bookmarkStart w:id="509" w:name="_Toc20069"/>
      <w:bookmarkStart w:id="510" w:name="_Toc5395"/>
      <w:r>
        <w:rPr>
          <w:rFonts w:ascii="Times New Roman" w:hAnsi="Times New Roman" w:cs="Times New Roman"/>
        </w:rPr>
        <w:t>第八章  破立并举深化改革赋能  增强高质量发展动力活力</w:t>
      </w:r>
      <w:bookmarkEnd w:id="497"/>
      <w:bookmarkEnd w:id="498"/>
      <w:bookmarkEnd w:id="499"/>
      <w:bookmarkEnd w:id="500"/>
      <w:bookmarkEnd w:id="501"/>
      <w:bookmarkEnd w:id="502"/>
      <w:bookmarkEnd w:id="503"/>
      <w:bookmarkEnd w:id="504"/>
      <w:bookmarkEnd w:id="505"/>
      <w:bookmarkEnd w:id="506"/>
      <w:bookmarkEnd w:id="507"/>
      <w:bookmarkEnd w:id="508"/>
      <w:bookmarkEnd w:id="509"/>
      <w:bookmarkEnd w:id="510"/>
    </w:p>
    <w:p w14:paraId="53A8E45D">
      <w:pPr>
        <w:rPr>
          <w:rFonts w:cs="Times New Roman"/>
        </w:rPr>
      </w:pPr>
      <w:bookmarkStart w:id="511" w:name="OLE_LINK4"/>
      <w:r>
        <w:rPr>
          <w:rFonts w:cs="Times New Roman"/>
        </w:rPr>
        <w:t>以经济体制改革为牵引，聚焦重要领域和关键环节开展创造性落实、差异化探索，</w:t>
      </w:r>
      <w:r>
        <w:rPr>
          <w:rFonts w:cs="Times New Roman"/>
          <w:lang w:bidi="bo-CN"/>
        </w:rPr>
        <w:t>深入实施国企高质量发展专项行动、国有资产盘活利用专项行动，</w:t>
      </w:r>
      <w:r>
        <w:rPr>
          <w:rFonts w:cs="Times New Roman"/>
        </w:rPr>
        <w:t>持续增强各类市场主体活力，推动政务服务更加便捷、市场竞争更加公平、资源配置更加高效、法治环境良好便利，实现营商环境整体水准长三角领先。</w:t>
      </w:r>
    </w:p>
    <w:p w14:paraId="114DADE3">
      <w:pPr>
        <w:pStyle w:val="3"/>
        <w:rPr>
          <w:rFonts w:ascii="Times New Roman" w:hAnsi="Times New Roman" w:cs="Times New Roman"/>
        </w:rPr>
      </w:pPr>
      <w:bookmarkStart w:id="512" w:name="_Toc19777"/>
      <w:bookmarkStart w:id="513" w:name="_Toc30440"/>
      <w:bookmarkStart w:id="514" w:name="_Toc18279"/>
      <w:bookmarkStart w:id="515" w:name="_Toc2745"/>
      <w:bookmarkStart w:id="516" w:name="_Toc3161"/>
      <w:bookmarkStart w:id="517" w:name="_Toc1161"/>
      <w:bookmarkStart w:id="518" w:name="_Toc10132"/>
      <w:bookmarkStart w:id="519" w:name="_Toc29102"/>
      <w:bookmarkStart w:id="520" w:name="_Toc7486"/>
      <w:bookmarkStart w:id="521" w:name="_Toc16607"/>
      <w:bookmarkStart w:id="522" w:name="_Toc21275"/>
      <w:bookmarkStart w:id="523" w:name="_Toc16679"/>
      <w:bookmarkStart w:id="524" w:name="_Toc6532"/>
      <w:bookmarkStart w:id="525" w:name="_Toc14468"/>
      <w:r>
        <w:rPr>
          <w:rFonts w:ascii="Times New Roman" w:hAnsi="Times New Roman" w:cs="Times New Roman"/>
        </w:rPr>
        <w:t>第一节  打响“万事好通·马上办”营商环境品牌</w:t>
      </w:r>
      <w:bookmarkEnd w:id="512"/>
      <w:bookmarkEnd w:id="513"/>
      <w:bookmarkEnd w:id="514"/>
      <w:bookmarkEnd w:id="515"/>
      <w:bookmarkEnd w:id="516"/>
      <w:bookmarkEnd w:id="517"/>
      <w:bookmarkEnd w:id="518"/>
      <w:bookmarkEnd w:id="519"/>
      <w:bookmarkEnd w:id="520"/>
      <w:bookmarkEnd w:id="521"/>
      <w:bookmarkEnd w:id="522"/>
      <w:bookmarkEnd w:id="523"/>
      <w:bookmarkEnd w:id="524"/>
      <w:bookmarkEnd w:id="525"/>
    </w:p>
    <w:p w14:paraId="6C1498BB">
      <w:pPr>
        <w:rPr>
          <w:rFonts w:hint="eastAsia" w:ascii="仿宋_GB2312" w:hAnsi="仿宋_GB2312" w:eastAsia="仿宋_GB2312" w:cs="仿宋_GB2312"/>
        </w:rPr>
      </w:pPr>
      <w:r>
        <w:rPr>
          <w:rFonts w:eastAsia="楷体_GB2312" w:cs="Times New Roman"/>
        </w:rPr>
        <w:t>营造透明可预期的市场环境。</w:t>
      </w:r>
      <w:r>
        <w:rPr>
          <w:rFonts w:hint="default" w:ascii="Times New Roman" w:hAnsi="Times New Roman" w:eastAsia="仿宋_GB2312" w:cs="Times New Roman"/>
          <w:shd w:val="clear" w:color="auto" w:fill="FFFFFF"/>
        </w:rPr>
        <w:t>贯彻落实全国统一大市场“五统一、一开放”基本要求</w:t>
      </w:r>
      <w:r>
        <w:rPr>
          <w:rFonts w:cs="Times New Roman"/>
          <w:shd w:val="clear" w:color="auto" w:fill="FFFFFF"/>
        </w:rPr>
        <w:t>，严格执行全国统一的市场准入负面清单制度，落实全国统一的地方招商引资行为清单。</w:t>
      </w:r>
      <w:r>
        <w:rPr>
          <w:rFonts w:cs="Times New Roman"/>
        </w:rPr>
        <w:t>落实各级综合整治“内卷式”竞争政策，整治企业低价无序竞争乱象，引导产业竞争更加健康有序。</w:t>
      </w:r>
      <w:r>
        <w:rPr>
          <w:rFonts w:cs="Times New Roman"/>
          <w:shd w:val="clear" w:color="auto" w:fill="FFFFFF"/>
        </w:rPr>
        <w:t>加强公平竞争审查刚性约束，</w:t>
      </w:r>
      <w:r>
        <w:rPr>
          <w:rFonts w:cs="Times New Roman"/>
        </w:rPr>
        <w:t>消除要素获取、资质认定、招标投标、政府</w:t>
      </w:r>
      <w:r>
        <w:rPr>
          <w:rFonts w:hint="eastAsia" w:ascii="仿宋_GB2312" w:hAnsi="仿宋_GB2312" w:eastAsia="仿宋_GB2312" w:cs="仿宋_GB2312"/>
        </w:rPr>
        <w:t>采购等方面壁垒。规范政府采购和招标投标等行为，完善</w:t>
      </w:r>
      <w:r>
        <w:rPr>
          <w:rFonts w:hint="eastAsia" w:ascii="仿宋_GB2312" w:hAnsi="仿宋_GB2312" w:eastAsia="仿宋_GB2312" w:cs="仿宋_GB2312"/>
          <w:shd w:val="clear" w:color="auto" w:fill="FFFFFF"/>
        </w:rPr>
        <w:t>政府诚信</w:t>
      </w:r>
      <w:r>
        <w:rPr>
          <w:rFonts w:hint="eastAsia" w:ascii="仿宋_GB2312" w:hAnsi="仿宋_GB2312" w:eastAsia="仿宋_GB2312" w:cs="仿宋_GB2312"/>
        </w:rPr>
        <w:t>履约机制。</w:t>
      </w:r>
    </w:p>
    <w:p w14:paraId="6D3431C5">
      <w:pPr>
        <w:rPr>
          <w:rFonts w:cs="Times New Roman"/>
        </w:rPr>
      </w:pPr>
      <w:r>
        <w:rPr>
          <w:rFonts w:eastAsia="楷体_GB2312" w:cs="Times New Roman"/>
        </w:rPr>
        <w:t>提升政务服务效能。</w:t>
      </w:r>
      <w:r>
        <w:rPr>
          <w:rFonts w:cs="Times New Roman"/>
        </w:rPr>
        <w:t>深化“高效办成一件事”改革，推动更多事项实行“一张表单、一套材料、多部门并联审批”。深化“互联网+商事服务”，</w:t>
      </w:r>
      <w:r>
        <w:rPr>
          <w:rFonts w:cs="Times New Roman"/>
          <w:snapToGrid w:val="0"/>
          <w:szCs w:val="32"/>
        </w:rPr>
        <w:t>上线“电子营业执照+电子印章”组合开户服务</w:t>
      </w:r>
      <w:r>
        <w:rPr>
          <w:rFonts w:cs="Times New Roman"/>
        </w:rPr>
        <w:t>，推动商事登记实现“线上全程办”。推动高频事项“一平台办理”在基层扩面、扩事项、扩综窗，实现区镇（街道）和村（社区）全覆盖。完善服务大厅综合窗口设置，优化领办代办、一站式办等服务。放大基层便民服务中心（站）服务渠道优势，拓展服务清单，推动更多高频服务在企业群众身边“就近可办”。坚持“服务就是最好的招商”，持续优化涉企服务，开展“企业家看海门”等活动，建好“安商护企”联盟“东洲护企”平台。完善惠企政策体系，推动“一链一策”“一业一策”分类施策，完善政策制定实施、信息披露、评估调整和退出机制，拓宽企业家参与涉企政策制定渠道。强化政策兑现，推动政策红利直达企业、“免申即享”。</w:t>
      </w:r>
    </w:p>
    <w:p w14:paraId="06664BE1">
      <w:pPr>
        <w:rPr>
          <w:rFonts w:cs="Times New Roman"/>
        </w:rPr>
      </w:pPr>
      <w:r>
        <w:rPr>
          <w:rFonts w:eastAsia="楷体_GB2312" w:cs="Times New Roman"/>
        </w:rPr>
        <w:t>打造法治化营商环境升级版。</w:t>
      </w:r>
      <w:r>
        <w:rPr>
          <w:rFonts w:cs="Times New Roman"/>
        </w:rPr>
        <w:t>强化重大行政决策合法性审查、行政规范性文件合法性审核和重大行政执法决定法制审核。深化“产业链+法律服务”模式，推进商会商事、知识产权等调解组织建设。完善“事前尽调</w:t>
      </w:r>
      <w:r>
        <w:rPr>
          <w:rFonts w:hint="eastAsia" w:cs="Times New Roman"/>
          <w:lang w:eastAsia="zh-CN"/>
        </w:rPr>
        <w:t>—</w:t>
      </w:r>
      <w:r>
        <w:rPr>
          <w:rFonts w:cs="Times New Roman"/>
        </w:rPr>
        <w:t>事中防控</w:t>
      </w:r>
      <w:r>
        <w:rPr>
          <w:rFonts w:hint="eastAsia" w:cs="Times New Roman"/>
          <w:lang w:eastAsia="zh-CN"/>
        </w:rPr>
        <w:t>—</w:t>
      </w:r>
      <w:r>
        <w:rPr>
          <w:rFonts w:cs="Times New Roman"/>
        </w:rPr>
        <w:t>事后审查”全流程法治护航重大项目建设体系，发挥好“重大项目法律服务团”作用。深化跨部门综合集成监管，构建柔性监管等新型监管模式，深化“综合查一次”改革，推行“不见面”非现场执法。全面推行包容审慎监管，落实首违不罚、轻微免罚、公益减罚清单，实施轻微违法告知承诺制。完善信用评价、信用分级分类监管等制度措施，健全守信激励和失信惩戒机制。推广“两书同达”模式，升级信用修复服务，推动破产重整、破产和解企业高效修复信用。</w:t>
      </w:r>
    </w:p>
    <w:p w14:paraId="1D79AD37">
      <w:pPr>
        <w:pStyle w:val="3"/>
        <w:rPr>
          <w:rFonts w:ascii="Times New Roman" w:hAnsi="Times New Roman" w:cs="Times New Roman"/>
        </w:rPr>
      </w:pPr>
      <w:bookmarkStart w:id="526" w:name="_Toc29231"/>
      <w:bookmarkStart w:id="527" w:name="_Toc15889"/>
      <w:bookmarkStart w:id="528" w:name="_Toc32647"/>
      <w:bookmarkStart w:id="529" w:name="_Toc2273"/>
      <w:bookmarkStart w:id="530" w:name="_Toc7044"/>
      <w:bookmarkStart w:id="531" w:name="_Toc7026"/>
      <w:bookmarkStart w:id="532" w:name="_Toc4520"/>
      <w:bookmarkStart w:id="533" w:name="_Toc17290"/>
      <w:bookmarkStart w:id="534" w:name="_Toc20678"/>
      <w:bookmarkStart w:id="535" w:name="_Toc27354"/>
      <w:bookmarkStart w:id="536" w:name="_Toc5712"/>
      <w:bookmarkStart w:id="537" w:name="_Toc27770"/>
      <w:bookmarkStart w:id="538" w:name="_Toc3565"/>
      <w:bookmarkStart w:id="539" w:name="_Toc17200"/>
      <w:r>
        <w:rPr>
          <w:rFonts w:ascii="Times New Roman" w:hAnsi="Times New Roman" w:cs="Times New Roman"/>
        </w:rPr>
        <w:t>第二节  激发经营主体活力</w:t>
      </w:r>
      <w:bookmarkEnd w:id="526"/>
      <w:bookmarkEnd w:id="527"/>
      <w:bookmarkEnd w:id="528"/>
      <w:bookmarkEnd w:id="529"/>
      <w:bookmarkEnd w:id="530"/>
      <w:bookmarkEnd w:id="531"/>
      <w:bookmarkEnd w:id="532"/>
      <w:bookmarkEnd w:id="533"/>
      <w:bookmarkEnd w:id="534"/>
      <w:bookmarkEnd w:id="535"/>
      <w:bookmarkEnd w:id="536"/>
      <w:bookmarkEnd w:id="537"/>
      <w:bookmarkEnd w:id="538"/>
      <w:bookmarkEnd w:id="539"/>
    </w:p>
    <w:p w14:paraId="5FF6CC7A">
      <w:pPr>
        <w:bidi w:val="0"/>
      </w:pPr>
      <w:r>
        <w:rPr>
          <w:rFonts w:eastAsia="楷体_GB2312" w:cs="Times New Roman"/>
        </w:rPr>
        <w:t>深化国资国企改革。</w:t>
      </w:r>
      <w:r>
        <w:t>做强做优做大国有企业和国有资本，优化国有资本布局，立足区域功能定位和产业发展需求，加大国企在战略性新兴产业、未来产业的布局力度。进一步明晰国企功能定位，突出主责主业，划分“建设运营类”“产业发展类”“民生保障类”等类别，推进同质化业务优化重组，实现AAA最高信用评级零的突破。积极稳妥推进资本运作，支持国企开展创新投资和战略性投资，引导条件成熟的国企通过并购重组等方式谋划上市路径。推动国企健全现代企业制度和市场化经营机制，提升科学管理水平和决策运营效率。深化全级次穿透式监管，改造升级“智慧国资”一体化在线监管平台。运用统筹调剂、委托运营、改造升级等方式开展闲置国有资产分类盘活，推动跨部门、跨区域资产智能匹配与有序流转，保障国有资产保值增值与高效利用。</w:t>
      </w:r>
    </w:p>
    <w:p w14:paraId="1A0F58B0">
      <w:pPr>
        <w:rPr>
          <w:rFonts w:cs="Times New Roman"/>
        </w:rPr>
      </w:pPr>
      <w:r>
        <w:rPr>
          <w:rFonts w:eastAsia="楷体_GB2312" w:cs="Times New Roman"/>
        </w:rPr>
        <w:t>促进民营经济</w:t>
      </w:r>
      <w:bookmarkStart w:id="540" w:name="OLE_LINK13"/>
      <w:r>
        <w:rPr>
          <w:rFonts w:eastAsia="楷体_GB2312" w:cs="Times New Roman"/>
        </w:rPr>
        <w:t>发展壮大</w:t>
      </w:r>
      <w:bookmarkEnd w:id="540"/>
      <w:r>
        <w:rPr>
          <w:rFonts w:eastAsia="楷体_GB2312" w:cs="Times New Roman"/>
        </w:rPr>
        <w:t>。</w:t>
      </w:r>
      <w:r>
        <w:rPr>
          <w:rFonts w:cs="Times New Roman"/>
        </w:rPr>
        <w:t>动态制定调整民营经济发展支持政策，重点</w:t>
      </w:r>
      <w:r>
        <w:rPr>
          <w:rFonts w:cs="Times New Roman"/>
          <w:szCs w:val="32"/>
        </w:rPr>
        <w:t>完善民营企业投资融资支持、减税降费、清偿企业欠款等措施</w:t>
      </w:r>
      <w:r>
        <w:rPr>
          <w:rFonts w:cs="Times New Roman"/>
        </w:rPr>
        <w:t>。</w:t>
      </w:r>
      <w:r>
        <w:rPr>
          <w:rFonts w:cs="Times New Roman"/>
          <w:szCs w:val="32"/>
        </w:rPr>
        <w:t>推动基础设施、能源、环保、医疗等领域向民间资本公平开放</w:t>
      </w:r>
      <w:r>
        <w:rPr>
          <w:rFonts w:cs="Times New Roman"/>
        </w:rPr>
        <w:t>，支持更多民间资本投资项目纳入各级重大项目清单和民间投资重大项目清单。支持一定规模个体工商户转型升级为企业。加强“工商联+部门+商会+企业”联动服务。持续开展“政银保担企携手，共促产业链发展”系列推介会，深化“金融惠企直通车”服务，重点解决民营企业融资难题。加强涉企收费长效监管，完善拖欠企业账款预防和化解机制，依法保护民营企业产权和企业家权益。弘扬企业家精神，依托张謇企业家学院开展企业家培训，实施新生代企业家培养“弘謇计划”。</w:t>
      </w:r>
    </w:p>
    <w:p w14:paraId="37A60D5C">
      <w:pPr>
        <w:pStyle w:val="3"/>
        <w:rPr>
          <w:rFonts w:ascii="Times New Roman" w:hAnsi="Times New Roman" w:cs="Times New Roman"/>
        </w:rPr>
      </w:pPr>
      <w:bookmarkStart w:id="541" w:name="_Toc31909"/>
      <w:bookmarkStart w:id="542" w:name="_Toc27737"/>
      <w:bookmarkStart w:id="543" w:name="_Toc30588"/>
      <w:bookmarkStart w:id="544" w:name="_Toc2620"/>
      <w:bookmarkStart w:id="545" w:name="_Toc13783"/>
      <w:bookmarkStart w:id="546" w:name="_Toc3921"/>
      <w:bookmarkStart w:id="547" w:name="_Toc3846"/>
      <w:bookmarkStart w:id="548" w:name="_Toc29457"/>
      <w:bookmarkStart w:id="549" w:name="_Toc19729"/>
      <w:bookmarkStart w:id="550" w:name="_Toc769"/>
      <w:bookmarkStart w:id="551" w:name="_Toc2987"/>
      <w:bookmarkStart w:id="552" w:name="_Toc30907"/>
      <w:bookmarkStart w:id="553" w:name="_Toc14133"/>
      <w:bookmarkStart w:id="554" w:name="_Toc2630"/>
      <w:r>
        <w:rPr>
          <w:rFonts w:ascii="Times New Roman" w:hAnsi="Times New Roman" w:cs="Times New Roman"/>
        </w:rPr>
        <w:t>第三节  抓好重点领域改革</w:t>
      </w:r>
      <w:bookmarkEnd w:id="541"/>
      <w:bookmarkEnd w:id="542"/>
      <w:bookmarkEnd w:id="543"/>
      <w:bookmarkEnd w:id="544"/>
      <w:bookmarkEnd w:id="545"/>
      <w:bookmarkEnd w:id="546"/>
      <w:bookmarkEnd w:id="547"/>
      <w:bookmarkEnd w:id="548"/>
      <w:bookmarkEnd w:id="549"/>
      <w:bookmarkEnd w:id="550"/>
      <w:bookmarkEnd w:id="551"/>
      <w:bookmarkEnd w:id="552"/>
      <w:bookmarkEnd w:id="553"/>
      <w:bookmarkEnd w:id="554"/>
    </w:p>
    <w:p w14:paraId="785B622D">
      <w:pPr>
        <w:bidi w:val="0"/>
      </w:pPr>
      <w:r>
        <w:rPr>
          <w:rFonts w:eastAsia="楷体_GB2312" w:cs="Times New Roman"/>
        </w:rPr>
        <w:t>深化要素市场化配置改革。</w:t>
      </w:r>
      <w:r>
        <w:t>充分发挥市场在要素资源配置中的决定性作用，切实提升要素配置灵活性、协同性和适应性，促进各类要素资源高效利用。创新土地供给模式，推进弹性出让、带方案挂牌等土地配置方式，支持二、三产业混合用地，推行新型产业用地“标准地”供应，落实工商业用地使用权续期政策。畅通人力资源流通渠道，推动优质劳动力要素向生产率更高的领域配置。积极争取绿色金融相关试点政策。健全低空、环境、海域等新型生产要素供给机制，推动海洋能分类有序开发，持续深化用能权、用水权、排污权等环境要素交易，争取近海海域开放式养殖等项目用海，积极争取绿电指标和海上风电指标。</w:t>
      </w:r>
    </w:p>
    <w:p w14:paraId="64D25DCB">
      <w:pPr>
        <w:bidi w:val="0"/>
      </w:pPr>
      <w:r>
        <w:rPr>
          <w:rFonts w:eastAsia="楷体_GB2312" w:cs="Times New Roman"/>
        </w:rPr>
        <w:t>深化开发园区体制机制改革</w:t>
      </w:r>
      <w:r>
        <w:t>。</w:t>
      </w:r>
      <w:bookmarkStart w:id="555" w:name="OLE_LINK21"/>
      <w:r>
        <w:t>按照国家推进开发园区整合优化的导向要求，优化园区“一区多园”布局，完善海门高新区临江、三厂、常乐三个片区融合发展机制，支持海门开发区、海门港经开区整合其他乡镇工业园区联动发展。推进海门港经开区、海门高新区放权赋能</w:t>
      </w:r>
      <w:bookmarkEnd w:id="555"/>
      <w:r>
        <w:t>，在市场准入准营、工程建设项目审批等领域，按“精准实效、成熟一批、下放一批”原则，赋予省级园区符合其产业发展需求的区级经济管理权限，在项目审批、人才引进、薪酬制度、成果转化等方面赋予更大自主权。支持园区开展行政管理体制改革，推动园区完善“管委会+公司”市场化运作模式。加大开发园区制度型开放力度，有序复制推广自由贸易试验区、服务业扩大开放综合试点地区的制度创新成果。</w:t>
      </w:r>
    </w:p>
    <w:p w14:paraId="756521EA">
      <w:pPr>
        <w:rPr>
          <w:rFonts w:eastAsia="方正仿宋_GBK" w:cs="Times New Roman"/>
        </w:rPr>
        <w:sectPr>
          <w:pgSz w:w="11906" w:h="16838"/>
          <w:pgMar w:top="1814" w:right="1531" w:bottom="1984" w:left="1531" w:header="510" w:footer="1474" w:gutter="0"/>
          <w:cols w:space="0" w:num="1"/>
          <w:docGrid w:type="lines" w:linePitch="312" w:charSpace="0"/>
        </w:sectPr>
      </w:pPr>
      <w:r>
        <w:rPr>
          <w:rFonts w:eastAsia="楷体_GB2312" w:cs="Times New Roman"/>
        </w:rPr>
        <w:t>深入推进财税改革。</w:t>
      </w:r>
      <w:r>
        <w:rPr>
          <w:rFonts w:cs="Times New Roman"/>
        </w:rPr>
        <w:t>更大力度推进土地、写字楼、校舍等国有资产盘活利用，将资产配置、使用、处置等融入预算管理全过程。深化零基预算改革，重点抓好财力统筹、项目整合和敞口政策限额的控制，加快构建应保必保、该压尽压、讲求绩效的预算分配机制。深化财政预算绩效管理体制改革，探索绩效管理系统预警机制，强化财政绩效结果应用。推动基层财政事权和支出责任相匹配，完善高质量发展导向的转移支付激励约束机制，动态优化区镇共同财政事权分担比例，构建“权责清晰、奖优惩劣、风险可控”的基层财政体系。刚性落实“三保”预算优先编制、审核、执行机制，兜牢兜实基层“三保”底线。“十五五”期间，一般公共预算收入年均增幅3%左右，2030年预计达92亿元。</w:t>
      </w:r>
    </w:p>
    <w:p w14:paraId="43D300CC">
      <w:pPr>
        <w:pStyle w:val="2"/>
        <w:rPr>
          <w:rFonts w:ascii="Times New Roman" w:hAnsi="Times New Roman" w:cs="Times New Roman"/>
        </w:rPr>
      </w:pPr>
      <w:bookmarkStart w:id="556" w:name="_Toc14137"/>
      <w:bookmarkStart w:id="557" w:name="_Toc10180"/>
      <w:bookmarkStart w:id="558" w:name="_Toc6720"/>
      <w:bookmarkStart w:id="559" w:name="_Toc11651"/>
      <w:bookmarkStart w:id="560" w:name="_Toc14576"/>
      <w:bookmarkStart w:id="561" w:name="_Toc21249"/>
      <w:bookmarkStart w:id="562" w:name="_Toc3065"/>
      <w:bookmarkStart w:id="563" w:name="_Toc8455"/>
      <w:bookmarkStart w:id="564" w:name="_Toc5484"/>
      <w:bookmarkStart w:id="565" w:name="_Toc26500"/>
      <w:bookmarkStart w:id="566" w:name="_Toc4314"/>
      <w:bookmarkStart w:id="567" w:name="_Toc14100"/>
      <w:bookmarkStart w:id="568" w:name="_Toc11614"/>
      <w:bookmarkStart w:id="569" w:name="_Toc24101"/>
      <w:r>
        <w:rPr>
          <w:rFonts w:ascii="Times New Roman" w:hAnsi="Times New Roman" w:cs="Times New Roman"/>
        </w:rPr>
        <w:t>第九章  践行人民城市理念  建设江风海韵现代化魅力都市</w:t>
      </w:r>
      <w:bookmarkEnd w:id="556"/>
      <w:bookmarkEnd w:id="557"/>
      <w:bookmarkEnd w:id="558"/>
      <w:bookmarkEnd w:id="559"/>
      <w:bookmarkEnd w:id="560"/>
      <w:bookmarkEnd w:id="561"/>
      <w:bookmarkEnd w:id="562"/>
      <w:bookmarkEnd w:id="563"/>
      <w:bookmarkEnd w:id="564"/>
      <w:bookmarkEnd w:id="565"/>
      <w:bookmarkEnd w:id="566"/>
      <w:bookmarkEnd w:id="567"/>
      <w:bookmarkEnd w:id="568"/>
      <w:bookmarkEnd w:id="569"/>
    </w:p>
    <w:p w14:paraId="10D27671">
      <w:pPr>
        <w:rPr>
          <w:rFonts w:cs="Times New Roman"/>
          <w:szCs w:val="32"/>
        </w:rPr>
      </w:pPr>
      <w:r>
        <w:rPr>
          <w:rFonts w:cs="Times New Roman"/>
          <w:szCs w:val="32"/>
        </w:rPr>
        <w:t>加快城市发展方式转型，推动城市内涵式发展，深入推进城市高质量发展专项行动，</w:t>
      </w:r>
      <w:r>
        <w:rPr>
          <w:rFonts w:cs="Times New Roman"/>
        </w:rPr>
        <w:t>促进城市功能与品质双提升，不断增强城市发展能级，</w:t>
      </w:r>
      <w:r>
        <w:rPr>
          <w:rFonts w:cs="Times New Roman"/>
          <w:szCs w:val="32"/>
        </w:rPr>
        <w:t>打造近悦远来、内外兼修、魅力彰显、智慧韧性的现代化城区。</w:t>
      </w:r>
    </w:p>
    <w:p w14:paraId="751688D7">
      <w:pPr>
        <w:pStyle w:val="3"/>
        <w:rPr>
          <w:rFonts w:ascii="Times New Roman" w:hAnsi="Times New Roman" w:cs="Times New Roman"/>
        </w:rPr>
      </w:pPr>
      <w:bookmarkStart w:id="570" w:name="_Toc12845"/>
      <w:bookmarkStart w:id="571" w:name="_Toc31354"/>
      <w:bookmarkStart w:id="572" w:name="_Toc18202"/>
      <w:bookmarkStart w:id="573" w:name="_Toc1998"/>
      <w:bookmarkStart w:id="574" w:name="_Toc26850"/>
      <w:bookmarkStart w:id="575" w:name="_Toc16085"/>
      <w:bookmarkStart w:id="576" w:name="_Toc23727"/>
      <w:bookmarkStart w:id="577" w:name="_Toc13772"/>
      <w:bookmarkStart w:id="578" w:name="_Toc16080"/>
      <w:bookmarkStart w:id="579" w:name="_Toc3764"/>
      <w:bookmarkStart w:id="580" w:name="_Toc30963"/>
      <w:bookmarkStart w:id="581" w:name="_Toc11460"/>
      <w:bookmarkStart w:id="582" w:name="_Toc16786"/>
      <w:bookmarkStart w:id="583" w:name="_Toc9783"/>
      <w:r>
        <w:rPr>
          <w:rFonts w:ascii="Times New Roman" w:hAnsi="Times New Roman" w:cs="Times New Roman"/>
        </w:rPr>
        <w:t>第一节  构建完善“一主三副，两带六组团”总体格局</w:t>
      </w:r>
      <w:bookmarkEnd w:id="570"/>
      <w:bookmarkEnd w:id="571"/>
      <w:bookmarkEnd w:id="572"/>
      <w:bookmarkEnd w:id="573"/>
      <w:bookmarkEnd w:id="574"/>
      <w:bookmarkEnd w:id="575"/>
      <w:bookmarkEnd w:id="576"/>
      <w:bookmarkEnd w:id="577"/>
      <w:bookmarkEnd w:id="578"/>
      <w:bookmarkEnd w:id="579"/>
      <w:bookmarkEnd w:id="580"/>
      <w:bookmarkEnd w:id="581"/>
      <w:bookmarkEnd w:id="582"/>
      <w:bookmarkEnd w:id="583"/>
    </w:p>
    <w:p w14:paraId="7C8C9E5B">
      <w:r>
        <w:rPr>
          <w:rFonts w:eastAsia="楷体_GB2312"/>
        </w:rPr>
        <w:t>提升中心城区集聚辐射能力</w:t>
      </w:r>
      <w:r>
        <w:t>。按照“西融、北展、南优、东连”发展思路，优化“两核两轴五片”空间布局，强化中心城区科创、金融、文化、商务、消费等综合服务功能，不断提升中心城区首位度。优化府南CBD片区规划建设，大力发展楼宇经济、总部经济、数字经济等都市经济，打造全区综合服务核心。紧扣南通新机场、海门北站建设契机，推进北部新城建设，适时推进主城区向西拓展，加强中心城区与三星镇、</w:t>
      </w:r>
      <w:r>
        <w:rPr>
          <w:rFonts w:hint="eastAsia"/>
        </w:rPr>
        <w:t>崇川区、南通开发区</w:t>
      </w:r>
      <w:r>
        <w:t>的空间连接和功能链接，构建集高端零售、现代金融、专业服务于一体的高能级商业商务集群。推动更多区级服务功能沿长江路城市发展主轴布局，丰富解放路城市发展次轴</w:t>
      </w:r>
      <w:r>
        <w:rPr>
          <w:rFonts w:hint="eastAsia"/>
          <w:highlight w:val="none"/>
          <w:lang w:eastAsia="zh-CN"/>
        </w:rPr>
        <w:t>的</w:t>
      </w:r>
      <w:r>
        <w:t>商业、零售、休闲等功能业态。特色化打造西部综合商贸、老城更新赋能、謇公湖科创、滨江产业集聚和三厂绿色发展等片区，进一步畅通片区间交通联系。</w:t>
      </w:r>
    </w:p>
    <w:p w14:paraId="39A40BCF">
      <w:pPr>
        <w:rPr>
          <w:rFonts w:cs="Times New Roman"/>
        </w:rPr>
      </w:pPr>
      <w:r>
        <w:rPr>
          <w:rFonts w:eastAsia="楷体_GB2312" w:cs="Times New Roman"/>
        </w:rPr>
        <w:t>增强三大副城综合服务功能</w:t>
      </w:r>
      <w:r>
        <w:rPr>
          <w:rFonts w:cs="Times New Roman"/>
        </w:rPr>
        <w:t>。推动海门港经开区、海门高新区和三星家纺产业园区三大副中心差异化特色化发展，形成与中心城区功能互补、错位发展的格局。海门港经开区聚焦港产城人深度融合发展，推动港口作业区、产业集聚区、城镇生活区等功能区有机协同，完善职工公寓、学校、医院、商贸载体、生态公园等配套功能，打造产业集聚高效、城市功能完善的现代化海港新城。海门高新区突出创新联动与功能复合，推动研发、中试、生产与居住、休闲功能混合布局，强化文化赋能，按需建设创新型产业社区、商务社区，推动“产业社区+生活社区”双圈融合，打造宜业宜居的创新型产城融合实践区。三星家纺产业园区围绕打造全球性现代时尚家纺产业集聚区、空铁商贸新城等目标定位，推进家纺物流枢纽、国际会展中心及跨境电商产业园建设，完善高端酒店、文化体验、活力商圈等特色商贸、高端商务功能配套，建设赋能家纺产业升级、衔接临空经济的特色功能片区，打造产城融合国际家纺商贸新城。</w:t>
      </w:r>
    </w:p>
    <w:p w14:paraId="6565DCB0">
      <w:pPr>
        <w:rPr>
          <w:rFonts w:cs="Times New Roman"/>
        </w:rPr>
      </w:pPr>
      <w:r>
        <w:rPr>
          <w:rFonts w:eastAsia="楷体_GB2312" w:cs="Times New Roman"/>
        </w:rPr>
        <w:t>打造沿江沿海高质量发展带</w:t>
      </w:r>
      <w:r>
        <w:rPr>
          <w:rFonts w:cs="Times New Roman"/>
        </w:rPr>
        <w:t>。着力打造沿江绿色发展带和沿海高质量发展带，推动更多优质要素资源、产业项目向沿江沿海倾斜。沿江绿色发展带聚焦筑牢生态屏障与激活创新动能，推动产业智能化绿色化升级，强化全线交通功能建设，促进高端创新要素集聚，构建产业、交通、科技、文化、生态“五位一体”的绿色发展走廊。沿海高质量发展带统筹推进港口建设、临港产业培育、城镇配套，重点发展大进大出型临港先进制造业和临港服务业，打造成为全区经济社会发展“蓝色引擎”。</w:t>
      </w:r>
    </w:p>
    <w:p w14:paraId="0FD039A3">
      <w:pPr>
        <w:rPr>
          <w:rFonts w:eastAsia="方正仿宋_GBK" w:cs="Times New Roman"/>
        </w:rPr>
      </w:pPr>
      <w:r>
        <w:rPr>
          <w:rFonts w:eastAsia="楷体_GB2312" w:cs="Times New Roman"/>
        </w:rPr>
        <w:t>提升镇级组团连城带乡能力</w:t>
      </w:r>
      <w:r>
        <w:rPr>
          <w:rFonts w:cs="Times New Roman"/>
        </w:rPr>
        <w:t>。坚持差别发展、精准施策，支持常乐、正余、悦来、四甲、余东、海永等六大镇级组团立足资源禀赋，塑造核心优势、彰显产业特质，持续增强综合竞争力，打造“精而美”的特色小城镇。培育壮大镇域经济，鼓励乡镇聚焦“1个主导产业+1个特色产业”打响产业品牌知名度，加强特色资源活化利用。支持乡镇优化提升基础设施、公共服务、生活功能和环境面貌，增强综合承载能力和服务能力，打造为承接农业转移人口就近城镇化的重要平台、服务周边乡村的区域综合服务中心。突出基层减负导向，完善乡镇管理体制机制，厘清区镇权责边界，建立放权赋能滚动支持机制。结合“一区多园”发展模式，加强乡镇要素支持。推动被撤并乡镇集镇区特色化、差异化发展。</w:t>
      </w:r>
    </w:p>
    <w:tbl>
      <w:tblPr>
        <w:tblStyle w:val="2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863"/>
      </w:tblGrid>
      <w:tr w14:paraId="732B66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63" w:type="dxa"/>
          </w:tcPr>
          <w:p w14:paraId="423FD2B2">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eastAsia="黑体" w:cs="Times New Roman"/>
                <w:sz w:val="24"/>
              </w:rPr>
            </w:pPr>
            <w:r>
              <w:rPr>
                <w:rFonts w:eastAsia="黑体" w:cs="Times New Roman"/>
                <w:sz w:val="24"/>
              </w:rPr>
              <w:t>专栏14  小城镇发展指引</w:t>
            </w:r>
          </w:p>
          <w:p w14:paraId="2582BE26">
            <w:pPr>
              <w:keepNext w:val="0"/>
              <w:keepLines w:val="0"/>
              <w:pageBreakBefore w:val="0"/>
              <w:widowControl w:val="0"/>
              <w:kinsoku/>
              <w:wordWrap/>
              <w:overflowPunct/>
              <w:topLinePunct w:val="0"/>
              <w:autoSpaceDE/>
              <w:autoSpaceDN/>
              <w:bidi w:val="0"/>
              <w:adjustRightInd/>
              <w:snapToGrid/>
              <w:spacing w:line="400" w:lineRule="exact"/>
              <w:ind w:firstLine="480"/>
              <w:textAlignment w:val="auto"/>
              <w:rPr>
                <w:rFonts w:cs="Times New Roman"/>
                <w:kern w:val="0"/>
                <w:sz w:val="24"/>
              </w:rPr>
            </w:pPr>
            <w:r>
              <w:rPr>
                <w:rFonts w:eastAsia="楷体_GB2312" w:cs="Times New Roman"/>
                <w:kern w:val="0"/>
                <w:sz w:val="24"/>
              </w:rPr>
              <w:t>常乐镇</w:t>
            </w:r>
            <w:r>
              <w:rPr>
                <w:rFonts w:cs="Times New Roman"/>
                <w:kern w:val="0"/>
                <w:sz w:val="24"/>
              </w:rPr>
              <w:t>。以智能装备制造为主导，以文旅为特色，做强“张謇故里·四季常乐”文旅品牌，打造张謇文化传承地、宜居宜业和美乡镇。</w:t>
            </w:r>
          </w:p>
          <w:p w14:paraId="23C57639">
            <w:pPr>
              <w:keepNext w:val="0"/>
              <w:keepLines w:val="0"/>
              <w:pageBreakBefore w:val="0"/>
              <w:widowControl w:val="0"/>
              <w:kinsoku/>
              <w:wordWrap/>
              <w:overflowPunct/>
              <w:topLinePunct w:val="0"/>
              <w:autoSpaceDE/>
              <w:autoSpaceDN/>
              <w:bidi w:val="0"/>
              <w:adjustRightInd/>
              <w:snapToGrid/>
              <w:spacing w:line="400" w:lineRule="exact"/>
              <w:ind w:firstLine="480"/>
              <w:textAlignment w:val="auto"/>
              <w:rPr>
                <w:rFonts w:cs="Times New Roman"/>
                <w:kern w:val="0"/>
                <w:sz w:val="24"/>
              </w:rPr>
            </w:pPr>
            <w:r>
              <w:rPr>
                <w:rFonts w:eastAsia="楷体_GB2312" w:cs="Times New Roman"/>
                <w:kern w:val="0"/>
                <w:sz w:val="24"/>
              </w:rPr>
              <w:t>正余镇。</w:t>
            </w:r>
            <w:r>
              <w:rPr>
                <w:rFonts w:cs="Times New Roman"/>
                <w:kern w:val="0"/>
                <w:sz w:val="24"/>
              </w:rPr>
              <w:t>以机器人产业为主导，以农文旅融合为特色，打造智慧园区、智慧镇区、智能景区联动的现代化特色小城镇。延伸机器人产业链条，重点发展本体制造与场景应用</w:t>
            </w:r>
            <w:r>
              <w:rPr>
                <w:rFonts w:hint="eastAsia" w:cs="Times New Roman"/>
                <w:kern w:val="0"/>
                <w:sz w:val="24"/>
              </w:rPr>
              <w:t>。</w:t>
            </w:r>
            <w:r>
              <w:rPr>
                <w:rFonts w:cs="Times New Roman"/>
                <w:kern w:val="0"/>
                <w:sz w:val="24"/>
              </w:rPr>
              <w:t>串联王灶河老街、通东革命老区红色记忆馆等节点，打造“工业游、农业游、红色游”三位一体新业态。</w:t>
            </w:r>
          </w:p>
          <w:p w14:paraId="695527F2">
            <w:pPr>
              <w:keepNext w:val="0"/>
              <w:keepLines w:val="0"/>
              <w:pageBreakBefore w:val="0"/>
              <w:widowControl w:val="0"/>
              <w:kinsoku/>
              <w:wordWrap/>
              <w:overflowPunct/>
              <w:topLinePunct w:val="0"/>
              <w:autoSpaceDE/>
              <w:autoSpaceDN/>
              <w:bidi w:val="0"/>
              <w:adjustRightInd/>
              <w:snapToGrid/>
              <w:spacing w:line="400" w:lineRule="exact"/>
              <w:ind w:firstLine="480"/>
              <w:textAlignment w:val="auto"/>
              <w:rPr>
                <w:rFonts w:cs="Times New Roman"/>
                <w:kern w:val="0"/>
                <w:sz w:val="24"/>
              </w:rPr>
            </w:pPr>
            <w:r>
              <w:rPr>
                <w:rFonts w:eastAsia="楷体_GB2312" w:cs="Times New Roman"/>
                <w:kern w:val="0"/>
                <w:sz w:val="24"/>
              </w:rPr>
              <w:t>悦来镇</w:t>
            </w:r>
            <w:r>
              <w:rPr>
                <w:rFonts w:cs="Times New Roman"/>
                <w:kern w:val="0"/>
                <w:sz w:val="24"/>
              </w:rPr>
              <w:t>。以新材料为主导，以农业为特色，打造海门城乡一体化镇域样板。大力实施全域土地综合整治，发展生态高效农业，重点打造</w:t>
            </w:r>
            <w:r>
              <w:rPr>
                <w:rFonts w:hint="eastAsia" w:cs="Times New Roman"/>
                <w:kern w:val="0"/>
                <w:sz w:val="24"/>
              </w:rPr>
              <w:t>海门</w:t>
            </w:r>
            <w:r>
              <w:rPr>
                <w:rFonts w:cs="Times New Roman"/>
                <w:kern w:val="0"/>
                <w:sz w:val="24"/>
              </w:rPr>
              <w:t>“东部粮仓”，建设粮食生产功能区</w:t>
            </w:r>
            <w:r>
              <w:rPr>
                <w:rFonts w:hint="eastAsia" w:cs="Times New Roman"/>
                <w:kern w:val="0"/>
                <w:sz w:val="24"/>
              </w:rPr>
              <w:t>。</w:t>
            </w:r>
          </w:p>
          <w:p w14:paraId="02EA5472">
            <w:pPr>
              <w:keepNext w:val="0"/>
              <w:keepLines w:val="0"/>
              <w:pageBreakBefore w:val="0"/>
              <w:widowControl w:val="0"/>
              <w:kinsoku/>
              <w:wordWrap/>
              <w:overflowPunct/>
              <w:topLinePunct w:val="0"/>
              <w:autoSpaceDE/>
              <w:autoSpaceDN/>
              <w:bidi w:val="0"/>
              <w:adjustRightInd/>
              <w:snapToGrid/>
              <w:spacing w:line="400" w:lineRule="exact"/>
              <w:ind w:firstLine="480"/>
              <w:textAlignment w:val="auto"/>
              <w:rPr>
                <w:rFonts w:cs="Times New Roman"/>
                <w:kern w:val="0"/>
                <w:sz w:val="24"/>
              </w:rPr>
            </w:pPr>
            <w:r>
              <w:rPr>
                <w:rFonts w:eastAsia="楷体_GB2312" w:cs="Times New Roman"/>
                <w:kern w:val="0"/>
                <w:sz w:val="24"/>
              </w:rPr>
              <w:t>四甲镇</w:t>
            </w:r>
            <w:r>
              <w:rPr>
                <w:rFonts w:cs="Times New Roman"/>
                <w:kern w:val="0"/>
                <w:sz w:val="24"/>
              </w:rPr>
              <w:t>。以装备制造为主导，以航空配套为特色，打造空港枢纽活力新城、跨江向海产业强镇。大力发展精密机械等装备制造产业，全力发展航空新材料、空港物流等航空配套产业。</w:t>
            </w:r>
          </w:p>
          <w:p w14:paraId="72B6519C">
            <w:pPr>
              <w:keepNext w:val="0"/>
              <w:keepLines w:val="0"/>
              <w:pageBreakBefore w:val="0"/>
              <w:widowControl w:val="0"/>
              <w:kinsoku/>
              <w:wordWrap/>
              <w:overflowPunct/>
              <w:topLinePunct w:val="0"/>
              <w:autoSpaceDE/>
              <w:autoSpaceDN/>
              <w:bidi w:val="0"/>
              <w:adjustRightInd/>
              <w:snapToGrid/>
              <w:spacing w:line="400" w:lineRule="exact"/>
              <w:ind w:firstLine="480"/>
              <w:textAlignment w:val="auto"/>
              <w:rPr>
                <w:rFonts w:cs="Times New Roman"/>
                <w:kern w:val="0"/>
                <w:sz w:val="24"/>
              </w:rPr>
            </w:pPr>
            <w:r>
              <w:rPr>
                <w:rFonts w:eastAsia="楷体_GB2312" w:cs="Times New Roman"/>
                <w:kern w:val="0"/>
                <w:sz w:val="24"/>
              </w:rPr>
              <w:t>余东镇</w:t>
            </w:r>
            <w:r>
              <w:rPr>
                <w:rFonts w:cs="Times New Roman"/>
                <w:kern w:val="0"/>
                <w:sz w:val="24"/>
              </w:rPr>
              <w:t>。以装备制造为主导，以文旅为特色，打造中国历史文化名镇、海门东部智造强镇。培育日用品智造、电子通讯设备、汽车零部件、医疗器械等装备制造集群，优化“古镇核心区+现代服务区+生态居住区”功能布局。</w:t>
            </w:r>
          </w:p>
          <w:p w14:paraId="5765B05B">
            <w:pPr>
              <w:keepNext w:val="0"/>
              <w:keepLines w:val="0"/>
              <w:pageBreakBefore w:val="0"/>
              <w:widowControl w:val="0"/>
              <w:kinsoku/>
              <w:wordWrap/>
              <w:overflowPunct/>
              <w:topLinePunct w:val="0"/>
              <w:autoSpaceDE/>
              <w:autoSpaceDN/>
              <w:bidi w:val="0"/>
              <w:adjustRightInd/>
              <w:snapToGrid/>
              <w:spacing w:line="400" w:lineRule="exact"/>
              <w:ind w:firstLine="480"/>
              <w:textAlignment w:val="auto"/>
              <w:rPr>
                <w:rFonts w:cs="Times New Roman"/>
                <w:kern w:val="0"/>
                <w:sz w:val="24"/>
              </w:rPr>
            </w:pPr>
            <w:r>
              <w:rPr>
                <w:rFonts w:eastAsia="楷体_GB2312" w:cs="Times New Roman"/>
                <w:kern w:val="0"/>
                <w:sz w:val="24"/>
              </w:rPr>
              <w:t>海永镇</w:t>
            </w:r>
            <w:r>
              <w:rPr>
                <w:rFonts w:cs="Times New Roman"/>
                <w:kern w:val="0"/>
                <w:sz w:val="24"/>
              </w:rPr>
              <w:t>。以农旅融合为主导，以康养为特色，对标崇明世界级生态岛建设标准，系统布局健康生活、文化体验、研学疗愈、生态农田等功能，打造全龄化体验型生态小镇。</w:t>
            </w:r>
          </w:p>
        </w:tc>
      </w:tr>
    </w:tbl>
    <w:p w14:paraId="6E9ECDAB">
      <w:pPr>
        <w:spacing w:line="240" w:lineRule="auto"/>
        <w:ind w:firstLine="0" w:firstLineChars="0"/>
        <w:jc w:val="center"/>
        <w:rPr>
          <w:rFonts w:cs="Times New Roman"/>
        </w:rPr>
      </w:pPr>
      <w:bookmarkStart w:id="584" w:name="_Toc3967"/>
      <w:r>
        <w:rPr>
          <w:rFonts w:cs="Times New Roman"/>
        </w:rPr>
        <w:drawing>
          <wp:inline distT="0" distB="0" distL="114300" distR="114300">
            <wp:extent cx="5085080" cy="3529965"/>
            <wp:effectExtent l="0" t="0" r="5080" b="5715"/>
            <wp:docPr id="11" name="图片 11" descr="67d2083466460c77ee4d0584111f501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67d2083466460c77ee4d0584111f501d"/>
                    <pic:cNvPicPr>
                      <a:picLocks noChangeAspect="1"/>
                    </pic:cNvPicPr>
                  </pic:nvPicPr>
                  <pic:blipFill>
                    <a:blip r:embed="rId15"/>
                    <a:stretch>
                      <a:fillRect/>
                    </a:stretch>
                  </pic:blipFill>
                  <pic:spPr>
                    <a:xfrm>
                      <a:off x="0" y="0"/>
                      <a:ext cx="5085080" cy="3529965"/>
                    </a:xfrm>
                    <a:prstGeom prst="rect">
                      <a:avLst/>
                    </a:prstGeom>
                  </pic:spPr>
                </pic:pic>
              </a:graphicData>
            </a:graphic>
          </wp:inline>
        </w:drawing>
      </w:r>
    </w:p>
    <w:p w14:paraId="5D44F92D">
      <w:pPr>
        <w:ind w:firstLine="0" w:firstLineChars="0"/>
        <w:jc w:val="center"/>
        <w:rPr>
          <w:rFonts w:eastAsia="黑体" w:cs="Times New Roman"/>
          <w:sz w:val="24"/>
          <w:szCs w:val="21"/>
        </w:rPr>
      </w:pPr>
      <w:r>
        <w:rPr>
          <w:rFonts w:eastAsia="黑体" w:cs="Times New Roman"/>
          <w:sz w:val="24"/>
          <w:szCs w:val="21"/>
        </w:rPr>
        <w:t>图1  “一主三副，两带六组团”总体格局</w:t>
      </w:r>
    </w:p>
    <w:p w14:paraId="3A182E75">
      <w:pPr>
        <w:pStyle w:val="3"/>
        <w:rPr>
          <w:rFonts w:ascii="Times New Roman" w:hAnsi="Times New Roman" w:cs="Times New Roman"/>
        </w:rPr>
      </w:pPr>
      <w:bookmarkStart w:id="585" w:name="_Toc8429"/>
      <w:bookmarkStart w:id="586" w:name="_Toc6319"/>
      <w:bookmarkStart w:id="587" w:name="_Toc18812"/>
      <w:bookmarkStart w:id="588" w:name="_Toc14706"/>
      <w:bookmarkStart w:id="589" w:name="_Toc22954"/>
      <w:bookmarkStart w:id="590" w:name="_Toc16070"/>
      <w:bookmarkStart w:id="591" w:name="_Toc22713"/>
      <w:bookmarkStart w:id="592" w:name="_Toc30473"/>
      <w:bookmarkStart w:id="593" w:name="_Toc26008"/>
      <w:bookmarkStart w:id="594" w:name="_Toc31650"/>
      <w:bookmarkStart w:id="595" w:name="_Toc4167"/>
      <w:bookmarkStart w:id="596" w:name="_Toc27738"/>
      <w:bookmarkStart w:id="597" w:name="_Toc2017"/>
      <w:r>
        <w:rPr>
          <w:rFonts w:ascii="Times New Roman" w:hAnsi="Times New Roman" w:cs="Times New Roman"/>
        </w:rPr>
        <w:t>第二节  建设舒适便利的宜居城市</w:t>
      </w:r>
      <w:bookmarkEnd w:id="584"/>
      <w:bookmarkEnd w:id="585"/>
      <w:bookmarkEnd w:id="586"/>
      <w:bookmarkEnd w:id="587"/>
      <w:bookmarkEnd w:id="588"/>
      <w:bookmarkEnd w:id="589"/>
      <w:bookmarkEnd w:id="590"/>
      <w:bookmarkEnd w:id="591"/>
      <w:bookmarkEnd w:id="592"/>
      <w:bookmarkEnd w:id="593"/>
      <w:bookmarkEnd w:id="594"/>
      <w:bookmarkEnd w:id="595"/>
      <w:bookmarkEnd w:id="596"/>
      <w:bookmarkEnd w:id="597"/>
    </w:p>
    <w:p w14:paraId="4CBB02B0">
      <w:pPr>
        <w:rPr>
          <w:rFonts w:eastAsia="方正仿宋_GBK" w:cs="Times New Roman"/>
          <w:kern w:val="0"/>
          <w:szCs w:val="32"/>
          <w:lang w:bidi="ar"/>
        </w:rPr>
      </w:pPr>
      <w:r>
        <w:rPr>
          <w:rFonts w:eastAsia="楷体_GB2312" w:cs="Times New Roman"/>
        </w:rPr>
        <w:t>深入开展城市更新行动</w:t>
      </w:r>
      <w:r>
        <w:rPr>
          <w:rFonts w:cs="Times New Roman"/>
          <w:szCs w:val="32"/>
        </w:rPr>
        <w:t>。一体推进城市体检和城市更新，</w:t>
      </w:r>
      <w:r>
        <w:rPr>
          <w:rFonts w:cs="Times New Roman"/>
          <w:kern w:val="0"/>
          <w:szCs w:val="32"/>
          <w:lang w:bidi="ar"/>
        </w:rPr>
        <w:t>构建“体检</w:t>
      </w:r>
      <w:r>
        <w:rPr>
          <w:rFonts w:hint="eastAsia" w:cs="Times New Roman"/>
          <w:kern w:val="0"/>
          <w:szCs w:val="32"/>
          <w:lang w:eastAsia="zh-CN" w:bidi="ar"/>
        </w:rPr>
        <w:t>—</w:t>
      </w:r>
      <w:r>
        <w:rPr>
          <w:rFonts w:cs="Times New Roman"/>
          <w:kern w:val="0"/>
          <w:szCs w:val="32"/>
          <w:lang w:bidi="ar"/>
        </w:rPr>
        <w:t>规划</w:t>
      </w:r>
      <w:r>
        <w:rPr>
          <w:rFonts w:hint="eastAsia" w:cs="Times New Roman"/>
          <w:kern w:val="0"/>
          <w:szCs w:val="32"/>
          <w:lang w:eastAsia="zh-CN" w:bidi="ar"/>
        </w:rPr>
        <w:t>—</w:t>
      </w:r>
      <w:r>
        <w:rPr>
          <w:rFonts w:cs="Times New Roman"/>
          <w:kern w:val="0"/>
          <w:szCs w:val="32"/>
          <w:lang w:bidi="ar"/>
        </w:rPr>
        <w:t>计划</w:t>
      </w:r>
      <w:r>
        <w:rPr>
          <w:rFonts w:hint="eastAsia" w:cs="Times New Roman"/>
          <w:kern w:val="0"/>
          <w:szCs w:val="32"/>
          <w:lang w:eastAsia="zh-CN" w:bidi="ar"/>
        </w:rPr>
        <w:t>—</w:t>
      </w:r>
      <w:r>
        <w:rPr>
          <w:rFonts w:cs="Times New Roman"/>
          <w:kern w:val="0"/>
          <w:szCs w:val="32"/>
          <w:lang w:bidi="ar"/>
        </w:rPr>
        <w:t>实施</w:t>
      </w:r>
      <w:r>
        <w:rPr>
          <w:rFonts w:hint="eastAsia" w:cs="Times New Roman"/>
          <w:kern w:val="0"/>
          <w:szCs w:val="32"/>
          <w:lang w:eastAsia="zh-CN" w:bidi="ar"/>
        </w:rPr>
        <w:t>—</w:t>
      </w:r>
      <w:r>
        <w:rPr>
          <w:rFonts w:cs="Times New Roman"/>
          <w:kern w:val="0"/>
          <w:szCs w:val="32"/>
          <w:lang w:bidi="ar"/>
        </w:rPr>
        <w:t>评估”全链条城市更新管理机制，分类施策推进重点片区、老旧小区、老旧街区等改造提升。以城市微更新为主要抓手，探索城市更新与建筑功能转换盘活利用、社区嵌入式服务设施建设、城市历史文化保护传承等统筹推进路径，动态完善城市更新任务清单和年度改造计划。实施片区整体焕新行动，加快国际家纺园、海门老体育场等重点片区整体改造提升，通过修缮改造、功能完善、风貌修复、场景营造、业态植入等措施，改善人居环境与城市风貌。实施住区品质提升行动，开</w:t>
      </w:r>
      <w:r>
        <w:rPr>
          <w:rFonts w:hint="eastAsia" w:ascii="仿宋_GB2312" w:hAnsi="仿宋_GB2312" w:eastAsia="仿宋_GB2312" w:cs="仿宋_GB2312"/>
          <w:kern w:val="0"/>
          <w:szCs w:val="32"/>
          <w:lang w:bidi="ar"/>
        </w:rPr>
        <w:t>展长江新村等老旧小区改造和三星、包场等区镇城中村改造，推进危旧房屋治理。实施老旧街区提升行动，提升镇中路</w:t>
      </w:r>
      <w:r>
        <w:rPr>
          <w:rFonts w:cs="Times New Roman"/>
          <w:kern w:val="0"/>
          <w:szCs w:val="32"/>
          <w:lang w:bidi="ar"/>
        </w:rPr>
        <w:t>、解放路等老旧街区活力，推动老文峰等老旧商业楼宇活化利用。探索多元主体参与的城市更新改造路径。</w:t>
      </w:r>
    </w:p>
    <w:tbl>
      <w:tblPr>
        <w:tblStyle w:val="2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813"/>
      </w:tblGrid>
      <w:tr w14:paraId="74D096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13" w:type="dxa"/>
          </w:tcPr>
          <w:p w14:paraId="3D62FF04">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eastAsia="黑体" w:cs="Times New Roman"/>
                <w:sz w:val="24"/>
              </w:rPr>
            </w:pPr>
            <w:r>
              <w:rPr>
                <w:rFonts w:eastAsia="黑体" w:cs="Times New Roman"/>
                <w:sz w:val="24"/>
              </w:rPr>
              <w:t>专栏15  城市更新重点工程</w:t>
            </w:r>
          </w:p>
          <w:p w14:paraId="19DE1792">
            <w:pPr>
              <w:keepNext w:val="0"/>
              <w:keepLines w:val="0"/>
              <w:pageBreakBefore w:val="0"/>
              <w:widowControl w:val="0"/>
              <w:kinsoku/>
              <w:wordWrap/>
              <w:overflowPunct/>
              <w:topLinePunct w:val="0"/>
              <w:autoSpaceDE/>
              <w:autoSpaceDN/>
              <w:bidi w:val="0"/>
              <w:adjustRightInd/>
              <w:snapToGrid/>
              <w:spacing w:line="400" w:lineRule="exact"/>
              <w:ind w:firstLine="480"/>
              <w:textAlignment w:val="auto"/>
              <w:rPr>
                <w:rFonts w:cs="Times New Roman"/>
                <w:kern w:val="0"/>
                <w:sz w:val="24"/>
              </w:rPr>
            </w:pPr>
            <w:r>
              <w:rPr>
                <w:rFonts w:eastAsia="楷体_GB2312" w:cs="Times New Roman"/>
                <w:kern w:val="0"/>
                <w:sz w:val="24"/>
              </w:rPr>
              <w:t>片区整体焕新行动</w:t>
            </w:r>
            <w:r>
              <w:rPr>
                <w:rFonts w:cs="Times New Roman"/>
                <w:kern w:val="0"/>
                <w:sz w:val="24"/>
              </w:rPr>
              <w:t>。国际家纺园片区加快文商旅融合更新，打造“一区四中心”，即“名品聚集区、设计中心、会展中心、商务中心、数创中心”。海门老体育场片区开展</w:t>
            </w:r>
            <w:r>
              <w:rPr>
                <w:rFonts w:hint="eastAsia" w:cs="Times New Roman"/>
                <w:kern w:val="0"/>
                <w:sz w:val="24"/>
                <w:highlight w:val="none"/>
                <w:lang w:eastAsia="zh-CN"/>
              </w:rPr>
              <w:t>鸿謇</w:t>
            </w:r>
            <w:r>
              <w:rPr>
                <w:rFonts w:cs="Times New Roman"/>
                <w:kern w:val="0"/>
                <w:sz w:val="24"/>
              </w:rPr>
              <w:t>广场、鼎元华庭建设。建设京都奥莱综合体，填补区域商业空白。</w:t>
            </w:r>
          </w:p>
          <w:p w14:paraId="783AEAB7">
            <w:pPr>
              <w:keepNext w:val="0"/>
              <w:keepLines w:val="0"/>
              <w:pageBreakBefore w:val="0"/>
              <w:widowControl w:val="0"/>
              <w:kinsoku/>
              <w:wordWrap/>
              <w:overflowPunct/>
              <w:topLinePunct w:val="0"/>
              <w:autoSpaceDE/>
              <w:autoSpaceDN/>
              <w:bidi w:val="0"/>
              <w:adjustRightInd/>
              <w:snapToGrid/>
              <w:spacing w:line="400" w:lineRule="exact"/>
              <w:ind w:firstLine="480"/>
              <w:textAlignment w:val="auto"/>
              <w:rPr>
                <w:rFonts w:cs="Times New Roman"/>
                <w:kern w:val="0"/>
                <w:sz w:val="24"/>
              </w:rPr>
            </w:pPr>
            <w:r>
              <w:rPr>
                <w:rFonts w:eastAsia="楷体_GB2312" w:cs="Times New Roman"/>
                <w:kern w:val="0"/>
                <w:sz w:val="24"/>
              </w:rPr>
              <w:t>住区品质提</w:t>
            </w:r>
            <w:r>
              <w:rPr>
                <w:rFonts w:eastAsia="楷体_GB2312" w:cs="Times New Roman"/>
                <w:kern w:val="0"/>
                <w:sz w:val="24"/>
                <w:highlight w:val="none"/>
              </w:rPr>
              <w:t>升行动</w:t>
            </w:r>
            <w:r>
              <w:rPr>
                <w:rFonts w:cs="Times New Roman"/>
                <w:kern w:val="0"/>
                <w:sz w:val="24"/>
                <w:highlight w:val="none"/>
              </w:rPr>
              <w:t>。积极</w:t>
            </w:r>
            <w:r>
              <w:rPr>
                <w:rFonts w:cs="Times New Roman"/>
                <w:kern w:val="0"/>
                <w:sz w:val="24"/>
              </w:rPr>
              <w:t>推进2005年底前建成的老旧小区改造。完成复三新村小区、长江新村、工人新村、厂南新村、大生新村等老旧小区改造任务。既有多层住宅加装电梯100台，更新老旧电梯200台。持续推进星绣湾等城中村改造项目。新增6个以上儿童活动场地。</w:t>
            </w:r>
          </w:p>
          <w:p w14:paraId="074B74E8">
            <w:pPr>
              <w:keepNext w:val="0"/>
              <w:keepLines w:val="0"/>
              <w:pageBreakBefore w:val="0"/>
              <w:widowControl w:val="0"/>
              <w:kinsoku/>
              <w:wordWrap/>
              <w:overflowPunct/>
              <w:topLinePunct w:val="0"/>
              <w:autoSpaceDE/>
              <w:autoSpaceDN/>
              <w:bidi w:val="0"/>
              <w:adjustRightInd/>
              <w:snapToGrid/>
              <w:spacing w:line="400" w:lineRule="exact"/>
              <w:ind w:firstLine="480"/>
              <w:textAlignment w:val="auto"/>
              <w:rPr>
                <w:rFonts w:cs="Times New Roman"/>
                <w:kern w:val="0"/>
                <w:sz w:val="24"/>
              </w:rPr>
            </w:pPr>
            <w:r>
              <w:rPr>
                <w:rFonts w:eastAsia="楷体_GB2312" w:cs="Times New Roman"/>
                <w:kern w:val="0"/>
                <w:sz w:val="24"/>
              </w:rPr>
              <w:t>老旧街区提升行动</w:t>
            </w:r>
            <w:r>
              <w:rPr>
                <w:rFonts w:cs="Times New Roman"/>
                <w:kern w:val="0"/>
                <w:sz w:val="24"/>
              </w:rPr>
              <w:t>。实施镇中路、解放路老旧街区活力提升；海门步行街片区综合更新提升；老文峰商业楼宇、金黄海锦江国际大酒店等老旧商业楼宇活化利用。</w:t>
            </w:r>
          </w:p>
        </w:tc>
      </w:tr>
    </w:tbl>
    <w:p w14:paraId="0130BBF2">
      <w:pPr>
        <w:keepNext w:val="0"/>
        <w:keepLines w:val="0"/>
        <w:pageBreakBefore w:val="0"/>
        <w:widowControl w:val="0"/>
        <w:kinsoku/>
        <w:wordWrap/>
        <w:overflowPunct/>
        <w:topLinePunct w:val="0"/>
        <w:autoSpaceDE/>
        <w:autoSpaceDN/>
        <w:bidi w:val="0"/>
        <w:adjustRightInd/>
        <w:snapToGrid/>
        <w:spacing w:line="240" w:lineRule="exact"/>
        <w:textAlignment w:val="auto"/>
        <w:rPr>
          <w:rFonts w:cs="Times New Roman"/>
        </w:rPr>
      </w:pPr>
    </w:p>
    <w:p w14:paraId="45A6F1C7">
      <w:pPr>
        <w:rPr>
          <w:rFonts w:cs="Times New Roman"/>
        </w:rPr>
      </w:pPr>
      <w:r>
        <w:rPr>
          <w:rFonts w:eastAsia="楷体_GB2312" w:cs="Times New Roman"/>
        </w:rPr>
        <w:t>有序推进完整社区建设</w:t>
      </w:r>
      <w:r>
        <w:rPr>
          <w:rFonts w:cs="Times New Roman"/>
        </w:rPr>
        <w:t>。落实完整社区建设标准，统筹服务功能提升和设施短板补齐，“一社区一方案”形成社区短板清单和完整社区实施方案。推动新建社区同步配建便民服务设施，引导既有社区改造盘活可利用的闲置资源，持续完善“15分钟社区服务圈”。引导居民全程参与，培育社区文化，增强认同感和归属感。到2030年，完整社区建设达标率不低于50%。</w:t>
      </w:r>
    </w:p>
    <w:p w14:paraId="30964858">
      <w:pPr>
        <w:rPr>
          <w:rFonts w:cs="Times New Roman"/>
          <w:kern w:val="0"/>
          <w:szCs w:val="32"/>
          <w:lang w:bidi="ar"/>
        </w:rPr>
      </w:pPr>
      <w:r>
        <w:rPr>
          <w:rFonts w:eastAsia="楷体_GB2312" w:cs="Times New Roman"/>
        </w:rPr>
        <w:t>提升城市管理服务品质</w:t>
      </w:r>
      <w:r>
        <w:rPr>
          <w:rFonts w:cs="Times New Roman"/>
          <w:szCs w:val="32"/>
        </w:rPr>
        <w:t>。深化市容市貌综合整治，聚焦背街小巷、老旧小区等重点区域，高标准推进</w:t>
      </w:r>
      <w:r>
        <w:rPr>
          <w:rFonts w:cs="Times New Roman"/>
          <w:kern w:val="0"/>
          <w:szCs w:val="32"/>
          <w:lang w:bidi="ar"/>
        </w:rPr>
        <w:t>公厕提质</w:t>
      </w:r>
      <w:r>
        <w:rPr>
          <w:rFonts w:cs="Times New Roman"/>
          <w:szCs w:val="32"/>
        </w:rPr>
        <w:t>、街面序化与景观亮化，深化餐饮油烟、生活噪音治理，打造“最美回家路”，提升百姓身边的生活环境质量。提高城乡垃圾分类体系建设质效，强化建筑垃圾管理，推进区生活垃圾城北集散中</w:t>
      </w:r>
      <w:r>
        <w:rPr>
          <w:rFonts w:cs="Times New Roman"/>
          <w:kern w:val="0"/>
          <w:szCs w:val="32"/>
          <w:lang w:bidi="ar"/>
        </w:rPr>
        <w:t>心（站）建设，升级改造老旧垃圾中转站，加快厨余垃圾资源化利用等设施建设</w:t>
      </w:r>
      <w:r>
        <w:rPr>
          <w:rFonts w:cs="Times New Roman"/>
          <w:szCs w:val="32"/>
        </w:rPr>
        <w:t>。落实物业服务质量提升行动，提升老旧小区物业管理服务覆盖率，拓展智慧物业应用场景，发展“物业+生活”融合服务。</w:t>
      </w:r>
      <w:r>
        <w:rPr>
          <w:rFonts w:cs="Times New Roman"/>
          <w:kern w:val="0"/>
          <w:szCs w:val="32"/>
          <w:lang w:bidi="ar"/>
        </w:rPr>
        <w:t>以便民利民为导向，科学布局停车设施、新能源充电桩，盘活闲置车位。</w:t>
      </w:r>
    </w:p>
    <w:p w14:paraId="1062303D">
      <w:pPr>
        <w:pStyle w:val="3"/>
        <w:rPr>
          <w:rFonts w:ascii="Times New Roman" w:hAnsi="Times New Roman" w:cs="Times New Roman"/>
        </w:rPr>
      </w:pPr>
      <w:bookmarkStart w:id="598" w:name="_Toc5063"/>
      <w:bookmarkStart w:id="599" w:name="_Toc4399"/>
      <w:bookmarkStart w:id="600" w:name="_Toc5917"/>
      <w:bookmarkStart w:id="601" w:name="_Toc7556"/>
      <w:bookmarkStart w:id="602" w:name="_Toc3692"/>
      <w:bookmarkStart w:id="603" w:name="_Toc24699"/>
      <w:bookmarkStart w:id="604" w:name="_Toc7467"/>
      <w:bookmarkStart w:id="605" w:name="_Toc25300"/>
      <w:bookmarkStart w:id="606" w:name="_Toc27594"/>
      <w:bookmarkStart w:id="607" w:name="_Toc1971"/>
      <w:bookmarkStart w:id="608" w:name="_Toc11857"/>
      <w:bookmarkStart w:id="609" w:name="_Toc4297"/>
      <w:bookmarkStart w:id="610" w:name="_Toc16513"/>
      <w:bookmarkStart w:id="611" w:name="_Toc23610"/>
      <w:r>
        <w:rPr>
          <w:rFonts w:ascii="Times New Roman" w:hAnsi="Times New Roman" w:cs="Times New Roman"/>
        </w:rPr>
        <w:t>第三节  建设绿色生态的美丽城市</w:t>
      </w:r>
      <w:bookmarkEnd w:id="598"/>
      <w:bookmarkEnd w:id="599"/>
      <w:bookmarkEnd w:id="600"/>
      <w:bookmarkEnd w:id="601"/>
      <w:bookmarkEnd w:id="602"/>
      <w:bookmarkEnd w:id="603"/>
      <w:bookmarkEnd w:id="604"/>
      <w:bookmarkEnd w:id="605"/>
      <w:bookmarkEnd w:id="606"/>
      <w:bookmarkEnd w:id="607"/>
      <w:bookmarkEnd w:id="608"/>
      <w:bookmarkEnd w:id="609"/>
      <w:bookmarkEnd w:id="610"/>
      <w:bookmarkEnd w:id="611"/>
    </w:p>
    <w:p w14:paraId="21E14697">
      <w:pPr>
        <w:rPr>
          <w:rFonts w:cs="Times New Roman"/>
          <w:lang w:bidi="ar"/>
        </w:rPr>
      </w:pPr>
      <w:r>
        <w:rPr>
          <w:rFonts w:eastAsia="楷体_GB2312" w:cs="Times New Roman"/>
        </w:rPr>
        <w:t>精细化建设生态园林城市</w:t>
      </w:r>
      <w:r>
        <w:rPr>
          <w:rFonts w:cs="Times New Roman"/>
        </w:rPr>
        <w:t>。</w:t>
      </w:r>
      <w:r>
        <w:rPr>
          <w:rFonts w:cs="Times New Roman"/>
          <w:kern w:val="0"/>
          <w:szCs w:val="32"/>
          <w:lang w:bidi="ar"/>
        </w:rPr>
        <w:t>深入</w:t>
      </w:r>
      <w:r>
        <w:rPr>
          <w:rFonts w:cs="Times New Roman"/>
          <w:szCs w:val="32"/>
        </w:rPr>
        <w:t>推进</w:t>
      </w:r>
      <w:r>
        <w:rPr>
          <w:rFonts w:cs="Times New Roman"/>
          <w:kern w:val="0"/>
          <w:szCs w:val="32"/>
          <w:lang w:bidi="ar"/>
        </w:rPr>
        <w:t>“乐享园林”建设，</w:t>
      </w:r>
      <w:r>
        <w:rPr>
          <w:rFonts w:cs="Times New Roman"/>
          <w:szCs w:val="32"/>
        </w:rPr>
        <w:t>高标准打造串珠成链、织链成网、多彩可及的“绿美海门”城市绿脉。深入实施“城市公园绿地十分钟服务圈”完善工程，加强街区边角、低效绿地和闲置地块绿化改造，推进10个左右小游园、口袋公园建设，重点实施上海路东延绿化、海兴路南延绿化、玲珑湖公园整治等项目，推动口袋公园社区全覆盖，构建满足全龄段需求的多功能复合型绿色空间。</w:t>
      </w:r>
      <w:r>
        <w:rPr>
          <w:rFonts w:cs="Times New Roman"/>
        </w:rPr>
        <w:t>塑造城市绿化景观标识，持续丰富市树榉树和市花月季的应用场景，打造高品质植物地标。到2030年，</w:t>
      </w:r>
      <w:r>
        <w:rPr>
          <w:rFonts w:hint="eastAsia" w:cs="Times New Roman"/>
        </w:rPr>
        <w:t>城市建成区</w:t>
      </w:r>
      <w:r>
        <w:rPr>
          <w:rFonts w:cs="Times New Roman"/>
        </w:rPr>
        <w:t>人均公园绿地面积达16平方米，公园绿地服务半径覆盖率达95.5%。</w:t>
      </w:r>
    </w:p>
    <w:p w14:paraId="5A5DCBB2">
      <w:pPr>
        <w:rPr>
          <w:rFonts w:cs="Times New Roman"/>
        </w:rPr>
      </w:pPr>
      <w:r>
        <w:rPr>
          <w:rFonts w:eastAsia="楷体_GB2312" w:cs="Times New Roman"/>
        </w:rPr>
        <w:t>深化美丽细胞建设</w:t>
      </w:r>
      <w:r>
        <w:rPr>
          <w:rFonts w:cs="Times New Roman"/>
        </w:rPr>
        <w:t>。围绕社区、产业园区、制造企业、学校、街道、庭院等打造一批“美丽细胞”。持续推进生态社区发展，合理规划建设社区绿地系统，提升社区绿色低碳及生物多样性友好水平，塑造具有海门特色的生态社区品牌。推动产业与生态和谐共生，打造一批花园式厂区、节能低碳型美丽工厂。推动绿色校园、文化校园建设，打造环境育人、生态友好的美丽学校。</w:t>
      </w:r>
    </w:p>
    <w:p w14:paraId="00B796F3">
      <w:pPr>
        <w:pStyle w:val="3"/>
        <w:rPr>
          <w:rFonts w:ascii="Times New Roman" w:hAnsi="Times New Roman" w:cs="Times New Roman"/>
        </w:rPr>
      </w:pPr>
      <w:bookmarkStart w:id="612" w:name="_Toc16249"/>
      <w:bookmarkStart w:id="613" w:name="_Toc32595"/>
      <w:bookmarkStart w:id="614" w:name="_Toc24242"/>
      <w:bookmarkStart w:id="615" w:name="_Toc1171"/>
      <w:bookmarkStart w:id="616" w:name="_Toc21345"/>
      <w:bookmarkStart w:id="617" w:name="_Toc12299"/>
      <w:bookmarkStart w:id="618" w:name="_Toc30748"/>
      <w:bookmarkStart w:id="619" w:name="_Toc3139"/>
      <w:bookmarkStart w:id="620" w:name="_Toc22220"/>
      <w:bookmarkStart w:id="621" w:name="_Toc11217"/>
      <w:bookmarkStart w:id="622" w:name="_Toc32739"/>
      <w:bookmarkStart w:id="623" w:name="_Toc31777"/>
      <w:bookmarkStart w:id="624" w:name="_Toc30942"/>
      <w:bookmarkStart w:id="625" w:name="_Toc24180"/>
      <w:r>
        <w:rPr>
          <w:rFonts w:ascii="Times New Roman" w:hAnsi="Times New Roman" w:cs="Times New Roman"/>
        </w:rPr>
        <w:t>第四节  建设安全可靠的韧性城市</w:t>
      </w:r>
      <w:bookmarkEnd w:id="612"/>
      <w:bookmarkEnd w:id="613"/>
      <w:bookmarkEnd w:id="614"/>
      <w:bookmarkEnd w:id="615"/>
      <w:bookmarkEnd w:id="616"/>
      <w:bookmarkEnd w:id="617"/>
      <w:bookmarkEnd w:id="618"/>
      <w:bookmarkEnd w:id="619"/>
      <w:bookmarkEnd w:id="620"/>
      <w:bookmarkEnd w:id="621"/>
      <w:bookmarkEnd w:id="622"/>
      <w:bookmarkEnd w:id="623"/>
      <w:bookmarkEnd w:id="624"/>
      <w:bookmarkEnd w:id="625"/>
    </w:p>
    <w:p w14:paraId="1E26989C">
      <w:pPr>
        <w:rPr>
          <w:rFonts w:cs="Times New Roman"/>
        </w:rPr>
      </w:pPr>
      <w:r>
        <w:rPr>
          <w:rFonts w:eastAsia="楷体_GB2312" w:cs="Times New Roman"/>
        </w:rPr>
        <w:t>推进城市生命线安全工程建设</w:t>
      </w:r>
      <w:r>
        <w:rPr>
          <w:rFonts w:cs="Times New Roman"/>
        </w:rPr>
        <w:t>。聚焦燃气爆炸、供水爆管、城市内涝、地下管线交互、第三方施工破坏、桥梁倒塌和道路塌陷等风险场景，统筹开展安全风险评估、数据汇聚治理、区级监管系统建设、运行机制完善和监测设备布设。严格落实安全建设标准，形成安全风险清单，提升设施抗风险能力与使用寿命，筑牢城市运行的硬件基础。健全智慧化监测预警体系，建设城市生命线安全工程监管系统，推动与省、市系统互联互通，实现对设施潜在风险的精准识别与提前预警。</w:t>
      </w:r>
    </w:p>
    <w:tbl>
      <w:tblPr>
        <w:tblStyle w:val="2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60"/>
      </w:tblGrid>
      <w:tr w14:paraId="3D1CB2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60" w:type="dxa"/>
          </w:tcPr>
          <w:p w14:paraId="49B95238">
            <w:pPr>
              <w:pStyle w:val="15"/>
              <w:keepNext w:val="0"/>
              <w:keepLines w:val="0"/>
              <w:pageBreakBefore w:val="0"/>
              <w:widowControl/>
              <w:kinsoku/>
              <w:wordWrap/>
              <w:overflowPunct/>
              <w:topLinePunct w:val="0"/>
              <w:autoSpaceDE/>
              <w:autoSpaceDN/>
              <w:bidi w:val="0"/>
              <w:adjustRightInd/>
              <w:snapToGrid/>
              <w:spacing w:beforeAutospacing="0" w:afterAutospacing="0" w:line="400" w:lineRule="exact"/>
              <w:ind w:firstLine="0" w:firstLineChars="0"/>
              <w:jc w:val="center"/>
              <w:textAlignment w:val="auto"/>
              <w:rPr>
                <w:rStyle w:val="22"/>
                <w:rFonts w:eastAsia="黑体"/>
                <w:b w:val="0"/>
                <w:bCs/>
              </w:rPr>
            </w:pPr>
            <w:r>
              <w:rPr>
                <w:rStyle w:val="22"/>
                <w:rFonts w:eastAsia="黑体"/>
                <w:b w:val="0"/>
                <w:bCs/>
              </w:rPr>
              <w:t xml:space="preserve">专栏16  </w:t>
            </w:r>
            <w:r>
              <w:rPr>
                <w:rFonts w:eastAsia="黑体"/>
                <w:bCs/>
              </w:rPr>
              <w:t>城市生命线安全工程监管系统建设重点</w:t>
            </w:r>
          </w:p>
          <w:p w14:paraId="65940080">
            <w:pPr>
              <w:pStyle w:val="15"/>
              <w:keepNext w:val="0"/>
              <w:keepLines w:val="0"/>
              <w:pageBreakBefore w:val="0"/>
              <w:widowControl/>
              <w:kinsoku/>
              <w:wordWrap/>
              <w:overflowPunct/>
              <w:topLinePunct w:val="0"/>
              <w:autoSpaceDE/>
              <w:autoSpaceDN/>
              <w:bidi w:val="0"/>
              <w:adjustRightInd/>
              <w:snapToGrid/>
              <w:spacing w:beforeAutospacing="0" w:afterAutospacing="0" w:line="400" w:lineRule="exact"/>
              <w:ind w:firstLine="480"/>
              <w:jc w:val="both"/>
              <w:textAlignment w:val="auto"/>
            </w:pPr>
            <w:r>
              <w:rPr>
                <w:rFonts w:eastAsia="楷体_GB2312"/>
              </w:rPr>
              <w:t>应用支撑平台</w:t>
            </w:r>
            <w:r>
              <w:rPr>
                <w:rStyle w:val="22"/>
              </w:rPr>
              <w:t>。</w:t>
            </w:r>
            <w:r>
              <w:t>以智慧监测为运行基础、综合监管为业务核心，构建区级监管系统应用支撑体系，包括数据治理中台、地理信息平台、物联网平台、视频汇聚平台。</w:t>
            </w:r>
          </w:p>
          <w:p w14:paraId="79E42209">
            <w:pPr>
              <w:pStyle w:val="15"/>
              <w:keepNext w:val="0"/>
              <w:keepLines w:val="0"/>
              <w:pageBreakBefore w:val="0"/>
              <w:widowControl/>
              <w:kinsoku/>
              <w:wordWrap/>
              <w:overflowPunct/>
              <w:topLinePunct w:val="0"/>
              <w:autoSpaceDE/>
              <w:autoSpaceDN/>
              <w:bidi w:val="0"/>
              <w:adjustRightInd/>
              <w:snapToGrid/>
              <w:spacing w:beforeAutospacing="0" w:afterAutospacing="0" w:line="400" w:lineRule="exact"/>
              <w:ind w:firstLine="480"/>
              <w:jc w:val="both"/>
              <w:textAlignment w:val="auto"/>
            </w:pPr>
            <w:r>
              <w:rPr>
                <w:rFonts w:eastAsia="楷体_GB2312"/>
              </w:rPr>
              <w:t>数据资源体系</w:t>
            </w:r>
            <w:r>
              <w:rPr>
                <w:rStyle w:val="22"/>
              </w:rPr>
              <w:t>。</w:t>
            </w:r>
            <w:r>
              <w:t>建立区综合监管数据库，形成各场景归集库、主题库、专题库，实现行业数据省市区联调、全区共享。</w:t>
            </w:r>
          </w:p>
          <w:p w14:paraId="3FFAB6EB">
            <w:pPr>
              <w:pStyle w:val="15"/>
              <w:keepNext w:val="0"/>
              <w:keepLines w:val="0"/>
              <w:pageBreakBefore w:val="0"/>
              <w:widowControl/>
              <w:kinsoku/>
              <w:wordWrap/>
              <w:overflowPunct/>
              <w:topLinePunct w:val="0"/>
              <w:autoSpaceDE/>
              <w:autoSpaceDN/>
              <w:bidi w:val="0"/>
              <w:adjustRightInd/>
              <w:snapToGrid/>
              <w:spacing w:beforeAutospacing="0" w:afterAutospacing="0" w:line="400" w:lineRule="exact"/>
              <w:ind w:firstLine="480"/>
              <w:jc w:val="both"/>
              <w:textAlignment w:val="auto"/>
            </w:pPr>
            <w:r>
              <w:rPr>
                <w:rFonts w:eastAsia="楷体_GB2312"/>
              </w:rPr>
              <w:t>城市生命线安全监管系统应用体系</w:t>
            </w:r>
            <w:r>
              <w:rPr>
                <w:rStyle w:val="22"/>
              </w:rPr>
              <w:t>。</w:t>
            </w:r>
            <w:r>
              <w:t>1个综合应用，包括综合应用一张图、综合统计分析、行业综合监管、应急联动处置等功能；N个行业应用，包括燃气、供水、雨水、污水、道路、桥梁、地下管线、第三方施工等应用场景。</w:t>
            </w:r>
          </w:p>
          <w:p w14:paraId="104834C2">
            <w:pPr>
              <w:keepNext w:val="0"/>
              <w:keepLines w:val="0"/>
              <w:pageBreakBefore w:val="0"/>
              <w:kinsoku/>
              <w:wordWrap/>
              <w:overflowPunct/>
              <w:topLinePunct w:val="0"/>
              <w:autoSpaceDE/>
              <w:autoSpaceDN/>
              <w:bidi w:val="0"/>
              <w:adjustRightInd/>
              <w:snapToGrid/>
              <w:spacing w:line="400" w:lineRule="exact"/>
              <w:ind w:firstLine="480"/>
              <w:textAlignment w:val="auto"/>
              <w:rPr>
                <w:rFonts w:cs="Times New Roman"/>
              </w:rPr>
            </w:pPr>
            <w:r>
              <w:rPr>
                <w:rFonts w:eastAsia="楷体_GB2312" w:cs="Times New Roman"/>
                <w:kern w:val="0"/>
                <w:sz w:val="24"/>
              </w:rPr>
              <w:t>城市生命线感知设备</w:t>
            </w:r>
            <w:r>
              <w:rPr>
                <w:rStyle w:val="22"/>
                <w:rFonts w:cs="Times New Roman"/>
                <w:sz w:val="24"/>
              </w:rPr>
              <w:t>。</w:t>
            </w:r>
            <w:r>
              <w:rPr>
                <w:rFonts w:cs="Times New Roman"/>
                <w:sz w:val="24"/>
              </w:rPr>
              <w:t>包括水利领域液位计、超声波水位计等设备，交通领域探测及流程监测设备，市政领域末端户表集中改造更新等。</w:t>
            </w:r>
          </w:p>
        </w:tc>
      </w:tr>
    </w:tbl>
    <w:p w14:paraId="1101182F">
      <w:pPr>
        <w:keepNext w:val="0"/>
        <w:keepLines w:val="0"/>
        <w:pageBreakBefore w:val="0"/>
        <w:widowControl w:val="0"/>
        <w:kinsoku/>
        <w:wordWrap/>
        <w:overflowPunct/>
        <w:topLinePunct w:val="0"/>
        <w:autoSpaceDE/>
        <w:autoSpaceDN/>
        <w:bidi w:val="0"/>
        <w:adjustRightInd/>
        <w:snapToGrid/>
        <w:spacing w:line="240" w:lineRule="exact"/>
        <w:textAlignment w:val="auto"/>
        <w:rPr>
          <w:rFonts w:eastAsia="楷体_GB2312" w:cs="Times New Roman"/>
        </w:rPr>
      </w:pPr>
    </w:p>
    <w:p w14:paraId="720986A8">
      <w:pPr>
        <w:rPr>
          <w:rFonts w:cs="Times New Roman"/>
        </w:rPr>
      </w:pPr>
      <w:r>
        <w:rPr>
          <w:rFonts w:eastAsia="楷体_GB2312" w:cs="Times New Roman"/>
        </w:rPr>
        <w:t>推动市政基础设施提档升级。</w:t>
      </w:r>
      <w:r>
        <w:rPr>
          <w:rFonts w:cs="Times New Roman"/>
        </w:rPr>
        <w:t>推进给排水管网建设升级，实施平海线、通江线改造等区域供水工程，推动水厂设备更新，提升供水保障能力与输配水效率。深化城乡污水治理达标区建设，实施雨污水管线更新改造工程，加快推进海川水务三期、东洲水务六期等项目建设。强化供气、供热等设施建设，推进天然气城西门站、海门港经开区燃气门站等项目建设，完成小区燃气立管改造。深化海绵城市建设，提升雨水消纳与利用能力。探索开展“管网养护进小区”。</w:t>
      </w:r>
    </w:p>
    <w:p w14:paraId="727FD516">
      <w:pPr>
        <w:rPr>
          <w:rFonts w:cs="Times New Roman"/>
        </w:rPr>
      </w:pPr>
      <w:r>
        <w:rPr>
          <w:rFonts w:eastAsia="楷体_GB2312" w:cs="Times New Roman"/>
        </w:rPr>
        <w:t>夯实现代化水利基础设施支撑。</w:t>
      </w:r>
      <w:r>
        <w:rPr>
          <w:rFonts w:cs="Times New Roman"/>
        </w:rPr>
        <w:t>完善沿江沿海防洪体系，按100年一遇防洪标准实施江堤海堤提标工程，推进海永镇洲堤、东灶港闸西侧一线海堤等提升建设</w:t>
      </w:r>
      <w:r>
        <w:rPr>
          <w:rFonts w:cs="Times New Roman"/>
          <w:bCs/>
          <w:szCs w:val="32"/>
        </w:rPr>
        <w:t>。</w:t>
      </w:r>
      <w:r>
        <w:rPr>
          <w:rFonts w:cs="Times New Roman"/>
        </w:rPr>
        <w:t>实施区域、城市防洪除涝提标工程，按区域10年一遇、城市20年一遇除涝标准，分期推进民生河、海门河、浒通河等区域骨干河道整治，升级城市河道连通体系，推动病险水闸除险加固和沿江沿海重点引排水口门研究建设。实施区域治水工程，通过水闸除险加固、临时控导、河道贯通等措施，</w:t>
      </w:r>
      <w:r>
        <w:rPr>
          <w:rFonts w:cs="Times New Roman"/>
          <w:bCs/>
          <w:szCs w:val="32"/>
        </w:rPr>
        <w:t>改善河道引调水条件</w:t>
      </w:r>
      <w:r>
        <w:rPr>
          <w:rFonts w:cs="Times New Roman"/>
        </w:rPr>
        <w:t>。实施灌区骨干渠系工程，</w:t>
      </w:r>
      <w:r>
        <w:rPr>
          <w:rFonts w:cs="Times New Roman"/>
          <w:bCs/>
          <w:szCs w:val="32"/>
        </w:rPr>
        <w:t>推动节水灌区、生态灌区建设。</w:t>
      </w:r>
      <w:r>
        <w:rPr>
          <w:rFonts w:cs="Times New Roman"/>
        </w:rPr>
        <w:t>开展水土保持综合治理，</w:t>
      </w:r>
      <w:r>
        <w:rPr>
          <w:rFonts w:cs="Times New Roman"/>
          <w:bCs/>
          <w:szCs w:val="32"/>
        </w:rPr>
        <w:t>提升水土保持监测监管能力，</w:t>
      </w:r>
      <w:r>
        <w:rPr>
          <w:rFonts w:cs="Times New Roman"/>
        </w:rPr>
        <w:t>推进小流域示范片区建设。</w:t>
      </w:r>
    </w:p>
    <w:tbl>
      <w:tblPr>
        <w:tblStyle w:val="2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60"/>
      </w:tblGrid>
      <w:tr w14:paraId="258A4C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60" w:type="dxa"/>
          </w:tcPr>
          <w:p w14:paraId="2D1EA926">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eastAsia="黑体" w:cs="Times New Roman"/>
                <w:kern w:val="0"/>
                <w:sz w:val="24"/>
              </w:rPr>
            </w:pPr>
            <w:r>
              <w:rPr>
                <w:rFonts w:eastAsia="黑体" w:cs="Times New Roman"/>
                <w:kern w:val="0"/>
                <w:sz w:val="24"/>
              </w:rPr>
              <w:t>专栏17  水利基础设施重点工程</w:t>
            </w:r>
          </w:p>
          <w:p w14:paraId="0C4BEFE6">
            <w:pPr>
              <w:keepNext w:val="0"/>
              <w:keepLines w:val="0"/>
              <w:pageBreakBefore w:val="0"/>
              <w:widowControl w:val="0"/>
              <w:kinsoku/>
              <w:wordWrap/>
              <w:overflowPunct/>
              <w:topLinePunct w:val="0"/>
              <w:autoSpaceDE/>
              <w:autoSpaceDN/>
              <w:bidi w:val="0"/>
              <w:adjustRightInd/>
              <w:snapToGrid/>
              <w:spacing w:line="400" w:lineRule="exact"/>
              <w:ind w:firstLine="480"/>
              <w:textAlignment w:val="auto"/>
              <w:rPr>
                <w:rFonts w:cs="Times New Roman"/>
                <w:kern w:val="0"/>
                <w:sz w:val="24"/>
              </w:rPr>
            </w:pPr>
            <w:r>
              <w:rPr>
                <w:rFonts w:eastAsia="楷体_GB2312" w:cs="Times New Roman"/>
                <w:kern w:val="0"/>
                <w:sz w:val="24"/>
              </w:rPr>
              <w:t>江堤海堤提标工程</w:t>
            </w:r>
            <w:r>
              <w:rPr>
                <w:rFonts w:hint="eastAsia" w:ascii="仿宋_GB2312" w:hAnsi="仿宋_GB2312" w:eastAsia="仿宋_GB2312" w:cs="仿宋_GB2312"/>
                <w:b/>
                <w:bCs/>
                <w:kern w:val="0"/>
                <w:sz w:val="24"/>
              </w:rPr>
              <w:t>。</w:t>
            </w:r>
            <w:r>
              <w:rPr>
                <w:rFonts w:cs="Times New Roman"/>
                <w:kern w:val="0"/>
                <w:sz w:val="24"/>
              </w:rPr>
              <w:t>立新闸两侧港支堤2.5km和海永镇洲堤提升改造、东灶港闸西侧一线海堤7km提升建设。</w:t>
            </w:r>
          </w:p>
          <w:p w14:paraId="583EFCE8">
            <w:pPr>
              <w:keepNext w:val="0"/>
              <w:keepLines w:val="0"/>
              <w:pageBreakBefore w:val="0"/>
              <w:widowControl w:val="0"/>
              <w:kinsoku/>
              <w:wordWrap/>
              <w:overflowPunct/>
              <w:topLinePunct w:val="0"/>
              <w:autoSpaceDE/>
              <w:autoSpaceDN/>
              <w:bidi w:val="0"/>
              <w:adjustRightInd/>
              <w:snapToGrid/>
              <w:spacing w:line="400" w:lineRule="exact"/>
              <w:ind w:firstLine="480"/>
              <w:textAlignment w:val="auto"/>
              <w:rPr>
                <w:rFonts w:eastAsia="楷体_GB2312" w:cs="Times New Roman"/>
                <w:kern w:val="0"/>
                <w:sz w:val="24"/>
              </w:rPr>
            </w:pPr>
            <w:r>
              <w:rPr>
                <w:rFonts w:eastAsia="楷体_GB2312" w:cs="Times New Roman"/>
                <w:kern w:val="0"/>
                <w:sz w:val="24"/>
              </w:rPr>
              <w:t>区域防洪除涝工程</w:t>
            </w:r>
            <w:r>
              <w:rPr>
                <w:rFonts w:cs="Times New Roman"/>
                <w:kern w:val="0"/>
                <w:sz w:val="24"/>
              </w:rPr>
              <w:t>。民生河综合整治，新建民生河闸站，拓浚民生河；浒通河闸除险加固工程；海门河、浒通河等骨干河道综合治理；常乐套闸除险加固工程。结合东灶港通海船闸工程同步推进排涝水闸工程。</w:t>
            </w:r>
          </w:p>
          <w:p w14:paraId="03792C86">
            <w:pPr>
              <w:keepNext w:val="0"/>
              <w:keepLines w:val="0"/>
              <w:pageBreakBefore w:val="0"/>
              <w:widowControl w:val="0"/>
              <w:kinsoku/>
              <w:wordWrap/>
              <w:overflowPunct/>
              <w:topLinePunct w:val="0"/>
              <w:autoSpaceDE/>
              <w:autoSpaceDN/>
              <w:bidi w:val="0"/>
              <w:adjustRightInd/>
              <w:snapToGrid/>
              <w:spacing w:line="400" w:lineRule="exact"/>
              <w:ind w:firstLine="480"/>
              <w:textAlignment w:val="auto"/>
              <w:rPr>
                <w:rFonts w:cs="Times New Roman"/>
                <w:kern w:val="0"/>
                <w:sz w:val="24"/>
              </w:rPr>
            </w:pPr>
            <w:r>
              <w:rPr>
                <w:rFonts w:eastAsia="楷体_GB2312" w:cs="Times New Roman"/>
                <w:kern w:val="0"/>
                <w:sz w:val="24"/>
              </w:rPr>
              <w:t>城市防洪除涝工程</w:t>
            </w:r>
            <w:r>
              <w:rPr>
                <w:rFonts w:cs="Times New Roman"/>
                <w:kern w:val="0"/>
                <w:sz w:val="24"/>
              </w:rPr>
              <w:t>。十二号横河</w:t>
            </w:r>
            <w:r>
              <w:rPr>
                <w:rFonts w:hint="eastAsia" w:cs="Times New Roman"/>
                <w:kern w:val="0"/>
                <w:sz w:val="24"/>
                <w:lang w:eastAsia="zh-CN"/>
              </w:rPr>
              <w:t>—</w:t>
            </w:r>
            <w:r>
              <w:rPr>
                <w:rFonts w:cs="Times New Roman"/>
                <w:kern w:val="0"/>
                <w:sz w:val="24"/>
              </w:rPr>
              <w:t>日新河连通工程，青西河</w:t>
            </w:r>
            <w:r>
              <w:rPr>
                <w:rFonts w:hint="eastAsia" w:cs="Times New Roman"/>
                <w:kern w:val="0"/>
                <w:sz w:val="24"/>
                <w:lang w:eastAsia="zh-CN"/>
              </w:rPr>
              <w:t>—</w:t>
            </w:r>
            <w:r>
              <w:rPr>
                <w:rFonts w:cs="Times New Roman"/>
                <w:kern w:val="0"/>
                <w:sz w:val="24"/>
              </w:rPr>
              <w:t>日新河连通工程，海门城区竖积河沿线清淤、护岸、涵洞改造等排涝能力提升项目。</w:t>
            </w:r>
          </w:p>
          <w:p w14:paraId="5AADB4CB">
            <w:pPr>
              <w:keepNext w:val="0"/>
              <w:keepLines w:val="0"/>
              <w:pageBreakBefore w:val="0"/>
              <w:widowControl w:val="0"/>
              <w:kinsoku/>
              <w:wordWrap/>
              <w:overflowPunct/>
              <w:topLinePunct w:val="0"/>
              <w:autoSpaceDE/>
              <w:autoSpaceDN/>
              <w:bidi w:val="0"/>
              <w:adjustRightInd/>
              <w:snapToGrid/>
              <w:spacing w:line="400" w:lineRule="exact"/>
              <w:ind w:firstLine="480"/>
              <w:textAlignment w:val="auto"/>
              <w:rPr>
                <w:rFonts w:cs="Times New Roman"/>
                <w:kern w:val="0"/>
                <w:sz w:val="24"/>
              </w:rPr>
            </w:pPr>
            <w:r>
              <w:rPr>
                <w:rFonts w:eastAsia="楷体_GB2312" w:cs="Times New Roman"/>
                <w:kern w:val="0"/>
                <w:sz w:val="24"/>
              </w:rPr>
              <w:t>区域治水工程</w:t>
            </w:r>
            <w:r>
              <w:rPr>
                <w:rFonts w:cs="Times New Roman"/>
                <w:kern w:val="0"/>
                <w:sz w:val="24"/>
              </w:rPr>
              <w:t>。通启河闸除险加固；研究圩角河</w:t>
            </w:r>
            <w:r>
              <w:rPr>
                <w:rFonts w:hint="eastAsia" w:cs="Times New Roman"/>
                <w:kern w:val="0"/>
                <w:sz w:val="24"/>
                <w:lang w:eastAsia="zh-CN"/>
              </w:rPr>
              <w:t>—</w:t>
            </w:r>
            <w:r>
              <w:rPr>
                <w:rFonts w:cs="Times New Roman"/>
                <w:kern w:val="0"/>
                <w:sz w:val="24"/>
              </w:rPr>
              <w:t>长江侧引调水工程，酌情推进余东镇大新河北端贯通通道、海门港经开区新开港闸改造。</w:t>
            </w:r>
          </w:p>
          <w:p w14:paraId="54FDBEB7">
            <w:pPr>
              <w:keepNext w:val="0"/>
              <w:keepLines w:val="0"/>
              <w:pageBreakBefore w:val="0"/>
              <w:widowControl w:val="0"/>
              <w:kinsoku/>
              <w:wordWrap/>
              <w:overflowPunct/>
              <w:topLinePunct w:val="0"/>
              <w:autoSpaceDE/>
              <w:autoSpaceDN/>
              <w:bidi w:val="0"/>
              <w:adjustRightInd/>
              <w:snapToGrid/>
              <w:spacing w:line="400" w:lineRule="exact"/>
              <w:ind w:firstLine="480"/>
              <w:textAlignment w:val="auto"/>
              <w:rPr>
                <w:rFonts w:eastAsia="方正楷体_GBK" w:cs="Times New Roman"/>
                <w:kern w:val="0"/>
                <w:sz w:val="24"/>
              </w:rPr>
            </w:pPr>
            <w:r>
              <w:rPr>
                <w:rFonts w:eastAsia="楷体_GB2312" w:cs="Times New Roman"/>
                <w:kern w:val="0"/>
                <w:sz w:val="24"/>
              </w:rPr>
              <w:t>灌区骨干渠系工程</w:t>
            </w:r>
            <w:r>
              <w:rPr>
                <w:rFonts w:cs="Times New Roman"/>
                <w:kern w:val="0"/>
                <w:sz w:val="24"/>
              </w:rPr>
              <w:t>。悦来等灌区续建配套及现代化改造工程。</w:t>
            </w:r>
          </w:p>
        </w:tc>
      </w:tr>
      <w:bookmarkEnd w:id="511"/>
    </w:tbl>
    <w:p w14:paraId="45AD16D0">
      <w:pPr>
        <w:rPr>
          <w:rFonts w:cs="Times New Roman"/>
        </w:rPr>
        <w:sectPr>
          <w:pgSz w:w="11906" w:h="16838"/>
          <w:pgMar w:top="1814" w:right="1531" w:bottom="1984" w:left="1531" w:header="510" w:footer="1474" w:gutter="0"/>
          <w:cols w:space="0" w:num="1"/>
          <w:docGrid w:type="lines" w:linePitch="312" w:charSpace="0"/>
        </w:sectPr>
      </w:pPr>
      <w:bookmarkStart w:id="626" w:name="_Toc2532"/>
      <w:bookmarkStart w:id="627" w:name="_Toc3599"/>
      <w:bookmarkStart w:id="628" w:name="_Toc12370"/>
      <w:bookmarkStart w:id="629" w:name="_Toc11421"/>
      <w:bookmarkStart w:id="630" w:name="_Toc2717"/>
      <w:bookmarkStart w:id="631" w:name="_Toc27671"/>
      <w:bookmarkStart w:id="632" w:name="_Toc11257"/>
      <w:bookmarkStart w:id="633" w:name="_Toc23895"/>
    </w:p>
    <w:p w14:paraId="1C5114B6">
      <w:pPr>
        <w:pStyle w:val="2"/>
        <w:rPr>
          <w:rFonts w:ascii="Times New Roman" w:hAnsi="Times New Roman" w:cs="Times New Roman"/>
          <w:spacing w:val="-11"/>
        </w:rPr>
      </w:pPr>
      <w:bookmarkStart w:id="634" w:name="_Toc17900"/>
      <w:bookmarkStart w:id="635" w:name="_Toc998"/>
      <w:bookmarkStart w:id="636" w:name="_Toc1884"/>
      <w:bookmarkStart w:id="637" w:name="_Toc28490"/>
      <w:bookmarkStart w:id="638" w:name="_Toc19753"/>
      <w:bookmarkStart w:id="639" w:name="_Toc5900"/>
      <w:r>
        <w:rPr>
          <w:rFonts w:ascii="Times New Roman" w:hAnsi="Times New Roman" w:cs="Times New Roman"/>
          <w:spacing w:val="-11"/>
        </w:rPr>
        <w:t>第十章  扎实推进乡村全面振兴  打造“新时代鱼米之乡”海门样板</w:t>
      </w:r>
      <w:bookmarkEnd w:id="626"/>
      <w:bookmarkEnd w:id="627"/>
      <w:bookmarkEnd w:id="628"/>
      <w:bookmarkEnd w:id="629"/>
      <w:bookmarkEnd w:id="630"/>
      <w:bookmarkEnd w:id="631"/>
      <w:bookmarkEnd w:id="632"/>
      <w:bookmarkEnd w:id="633"/>
      <w:bookmarkEnd w:id="634"/>
      <w:bookmarkEnd w:id="635"/>
      <w:bookmarkEnd w:id="636"/>
      <w:bookmarkEnd w:id="637"/>
      <w:bookmarkEnd w:id="638"/>
      <w:bookmarkEnd w:id="639"/>
    </w:p>
    <w:p w14:paraId="6D945A37">
      <w:pPr>
        <w:rPr>
          <w:rFonts w:cs="Times New Roman"/>
          <w:szCs w:val="32"/>
        </w:rPr>
      </w:pPr>
      <w:r>
        <w:rPr>
          <w:rFonts w:cs="Times New Roman"/>
          <w:szCs w:val="32"/>
        </w:rPr>
        <w:t>紧扣“农业更强、农村更美、农民更富”总体目标，以学习运用“千万工程”经验为引领，以打造“长三角供应基地、农业科技创新阵地、农旅融合新地”为抓手，深入推进“乡村振兴专项行动”，打造“五强”农业强区，建设高品质宜居宜业和美乡村，奋力绘就新时代鱼米之乡生动图景，推动海门乡村全面振兴事业持续走在全省前列。</w:t>
      </w:r>
    </w:p>
    <w:p w14:paraId="6F55D07C">
      <w:pPr>
        <w:pStyle w:val="3"/>
        <w:ind w:firstLine="640" w:firstLineChars="200"/>
        <w:rPr>
          <w:rFonts w:ascii="Times New Roman" w:hAnsi="Times New Roman" w:cs="Times New Roman"/>
        </w:rPr>
      </w:pPr>
      <w:bookmarkStart w:id="640" w:name="_Toc26600"/>
      <w:bookmarkStart w:id="641" w:name="_Toc7501"/>
      <w:bookmarkStart w:id="642" w:name="_Toc20669"/>
      <w:bookmarkStart w:id="643" w:name="_Toc17092"/>
      <w:bookmarkStart w:id="644" w:name="_Toc22703"/>
      <w:bookmarkStart w:id="645" w:name="_Toc20555"/>
      <w:bookmarkStart w:id="646" w:name="_Toc30893"/>
      <w:bookmarkStart w:id="647" w:name="_Toc24039"/>
      <w:bookmarkStart w:id="648" w:name="_Toc11657"/>
      <w:bookmarkStart w:id="649" w:name="_Toc1086"/>
      <w:bookmarkStart w:id="650" w:name="_Toc25854"/>
      <w:bookmarkStart w:id="651" w:name="_Toc14104"/>
      <w:bookmarkStart w:id="652" w:name="_Toc31250"/>
      <w:bookmarkStart w:id="653" w:name="_Toc5042"/>
      <w:r>
        <w:rPr>
          <w:rFonts w:ascii="Times New Roman" w:hAnsi="Times New Roman" w:cs="Times New Roman"/>
        </w:rPr>
        <w:t>第一节  打造“五强”农业强区</w:t>
      </w:r>
      <w:bookmarkEnd w:id="640"/>
      <w:bookmarkEnd w:id="641"/>
      <w:bookmarkEnd w:id="642"/>
      <w:bookmarkEnd w:id="643"/>
      <w:bookmarkEnd w:id="644"/>
      <w:bookmarkEnd w:id="645"/>
      <w:bookmarkEnd w:id="646"/>
      <w:bookmarkEnd w:id="647"/>
      <w:bookmarkEnd w:id="648"/>
      <w:bookmarkEnd w:id="649"/>
      <w:bookmarkEnd w:id="650"/>
      <w:bookmarkEnd w:id="651"/>
      <w:bookmarkEnd w:id="652"/>
      <w:bookmarkEnd w:id="653"/>
    </w:p>
    <w:p w14:paraId="4A2C2373">
      <w:pPr>
        <w:rPr>
          <w:rFonts w:cs="Times New Roman"/>
        </w:rPr>
      </w:pPr>
      <w:r>
        <w:rPr>
          <w:rFonts w:eastAsia="楷体_GB2312" w:cs="Times New Roman"/>
        </w:rPr>
        <w:t>筑牢粮食等重要农产品稳产保供基础。</w:t>
      </w:r>
      <w:r>
        <w:rPr>
          <w:rFonts w:cs="Times New Roman"/>
        </w:rPr>
        <w:t>实施粮油单产提升工程，推动良田良种良机良法集成增效，确保粮食总产量稳定在5.34亿斤以上，水稻、小麦、大豆、玉米、油菜五大主要农作物良种覆盖率</w:t>
      </w:r>
      <w:r>
        <w:rPr>
          <w:rFonts w:hint="eastAsia" w:cs="Times New Roman"/>
          <w:highlight w:val="none"/>
          <w:lang w:eastAsia="zh-CN"/>
        </w:rPr>
        <w:t>超</w:t>
      </w:r>
      <w:r>
        <w:rPr>
          <w:rFonts w:cs="Times New Roman"/>
          <w:highlight w:val="none"/>
        </w:rPr>
        <w:t>90%</w:t>
      </w:r>
      <w:r>
        <w:rPr>
          <w:rFonts w:cs="Times New Roman"/>
        </w:rPr>
        <w:t>。新建和改造提升高标准农田10万亩，推动具备条件的永久基本农田全部建成高标准农田。构建多元化食物供给体系，稳定蔬菜播种面积、水产养殖面积，稳定生猪生产，能繁母猪稳定在绿色区间。实施设施农业现代化提升行动，建设标准规范、装备先进、产出高效的现代种养设施，发展农业工厂等新形态。创新推广智慧渔业，培育发展生物农业，开拓新型食品资源。扩大绿色优质农产品供给，全域推行化肥农药减量增效。</w:t>
      </w:r>
    </w:p>
    <w:p w14:paraId="1A58DD1A">
      <w:pPr>
        <w:rPr>
          <w:rFonts w:cs="Times New Roman"/>
        </w:rPr>
      </w:pPr>
      <w:r>
        <w:rPr>
          <w:rFonts w:eastAsia="楷体_GB2312" w:cs="Times New Roman"/>
        </w:rPr>
        <w:t>推动农业全产业链优化升级</w:t>
      </w:r>
      <w:r>
        <w:rPr>
          <w:rFonts w:cs="Times New Roman"/>
        </w:rPr>
        <w:t>。优化绿色蔬果、特粮特经和东部粮仓空间布局，发展六大优势产业，提升“一头羊、一只鸡、一篮菜、一颗芋、一袋米、一盘鲜”全产业链发展水平，推动绿色蔬果、海门肉鸡成为产业链综合产值50亿元以上的主导产业，优质稻米、海门山羊、特粮特经、四青作物成为产业链综合产值20亿元以上的特色产业，支持创建国家级优势特色产业集群。发挥省级农产品加工集中区载体集聚效应，建设和储备一批农产品精深加工重大项目，支持开发即食、即热、即烹、即配食品，建设航空食品中试和成果转化基地。推动农业与文旅、康养、电商等业态融合，发展休闲农业等乡村新业态，建设兼具故事性、欣赏性的综合性生态休闲农业园区。到2030年，规模以上农产品加工业产值突破150亿元，新增国家农业产业强镇1个、产地冷链集配中心2个。</w:t>
      </w:r>
    </w:p>
    <w:tbl>
      <w:tblPr>
        <w:tblStyle w:val="2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60"/>
      </w:tblGrid>
      <w:tr w14:paraId="214C3F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60" w:type="dxa"/>
          </w:tcPr>
          <w:p w14:paraId="5E26FE9E">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eastAsia="黑体" w:cs="Times New Roman"/>
                <w:sz w:val="24"/>
              </w:rPr>
            </w:pPr>
            <w:r>
              <w:rPr>
                <w:rFonts w:eastAsia="黑体" w:cs="Times New Roman"/>
                <w:sz w:val="24"/>
              </w:rPr>
              <w:t>专栏18  6个优势产业全产业链发展</w:t>
            </w:r>
          </w:p>
          <w:p w14:paraId="1902DAE1">
            <w:pPr>
              <w:keepNext w:val="0"/>
              <w:keepLines w:val="0"/>
              <w:pageBreakBefore w:val="0"/>
              <w:widowControl w:val="0"/>
              <w:kinsoku/>
              <w:wordWrap/>
              <w:overflowPunct/>
              <w:topLinePunct w:val="0"/>
              <w:autoSpaceDE/>
              <w:autoSpaceDN/>
              <w:bidi w:val="0"/>
              <w:adjustRightInd/>
              <w:snapToGrid/>
              <w:spacing w:line="380" w:lineRule="exact"/>
              <w:ind w:firstLine="480"/>
              <w:textAlignment w:val="auto"/>
              <w:rPr>
                <w:rFonts w:cs="Times New Roman"/>
                <w:kern w:val="0"/>
                <w:sz w:val="24"/>
              </w:rPr>
            </w:pPr>
            <w:r>
              <w:rPr>
                <w:rFonts w:eastAsia="楷体_GB2312" w:cs="Times New Roman"/>
                <w:kern w:val="0"/>
                <w:sz w:val="24"/>
              </w:rPr>
              <w:t>海门山羊产业名品行动</w:t>
            </w:r>
            <w:r>
              <w:rPr>
                <w:rFonts w:cs="Times New Roman"/>
                <w:kern w:val="0"/>
                <w:sz w:val="24"/>
              </w:rPr>
              <w:t>。落实海门山羊“六统一”标准，推动海门山羊溯源管理和冠名贯标。提升海门山羊养殖能力、扩大养殖规模，加强种质资源保护与提纯复壮，推广生态健康养殖。开发海门山羊系列产品，发展高端冷鲜肉加工，拓展羊毛、皮革加工及生物制品开发，融合餐饮文化与文旅体验，扩大“海门山羊”品牌影响力，全力打造集保种扩繁、规模养殖、屠宰加工、品牌营销与文化推广于一体的产业链。</w:t>
            </w:r>
          </w:p>
          <w:p w14:paraId="1D93974C">
            <w:pPr>
              <w:keepNext w:val="0"/>
              <w:keepLines w:val="0"/>
              <w:pageBreakBefore w:val="0"/>
              <w:widowControl w:val="0"/>
              <w:kinsoku/>
              <w:wordWrap/>
              <w:overflowPunct/>
              <w:topLinePunct w:val="0"/>
              <w:autoSpaceDE/>
              <w:autoSpaceDN/>
              <w:bidi w:val="0"/>
              <w:adjustRightInd/>
              <w:snapToGrid/>
              <w:spacing w:line="380" w:lineRule="exact"/>
              <w:ind w:firstLine="480"/>
              <w:textAlignment w:val="auto"/>
              <w:rPr>
                <w:rFonts w:cs="Times New Roman"/>
                <w:kern w:val="0"/>
                <w:sz w:val="24"/>
              </w:rPr>
            </w:pPr>
            <w:r>
              <w:rPr>
                <w:rFonts w:eastAsia="楷体_GB2312" w:cs="Times New Roman"/>
                <w:kern w:val="0"/>
                <w:sz w:val="24"/>
              </w:rPr>
              <w:t>海门肉鸡产业跃升行动</w:t>
            </w:r>
            <w:r>
              <w:rPr>
                <w:rFonts w:cs="Times New Roman"/>
                <w:kern w:val="0"/>
                <w:sz w:val="24"/>
              </w:rPr>
              <w:t>。扩大白羽鸡标准化养殖规模，强化疫病防控与精准营养管理，加快发展屠宰分割、熟食加工及调味品等精深加工，完善冷链物流与电商销售体系。逐步扩大海门黄鸡生态养殖规模，开发高端冷鲜及滋补餐饮直供产品，打造高端化、差异化肉鸡产业链条。</w:t>
            </w:r>
          </w:p>
          <w:p w14:paraId="422002DF">
            <w:pPr>
              <w:keepNext w:val="0"/>
              <w:keepLines w:val="0"/>
              <w:pageBreakBefore w:val="0"/>
              <w:widowControl w:val="0"/>
              <w:kinsoku/>
              <w:wordWrap/>
              <w:overflowPunct/>
              <w:topLinePunct w:val="0"/>
              <w:autoSpaceDE/>
              <w:autoSpaceDN/>
              <w:bidi w:val="0"/>
              <w:adjustRightInd/>
              <w:snapToGrid/>
              <w:spacing w:line="380" w:lineRule="exact"/>
              <w:ind w:firstLine="480"/>
              <w:textAlignment w:val="auto"/>
              <w:rPr>
                <w:rFonts w:cs="Times New Roman"/>
                <w:kern w:val="0"/>
                <w:sz w:val="24"/>
              </w:rPr>
            </w:pPr>
            <w:r>
              <w:rPr>
                <w:rFonts w:eastAsia="楷体_GB2312" w:cs="Times New Roman"/>
                <w:kern w:val="0"/>
                <w:sz w:val="24"/>
              </w:rPr>
              <w:t>优质稻米产业提质行动</w:t>
            </w:r>
            <w:r>
              <w:rPr>
                <w:rFonts w:cs="Times New Roman"/>
                <w:kern w:val="0"/>
                <w:sz w:val="24"/>
              </w:rPr>
              <w:t>。扩大优质水稻种植面积，发展优质食味稻和富硒等功能稻米，提升稻米加工能力，开发糙米、速食米粥、米糠油等产品，扩大“淘米记”海门大米品牌影响力，构建种植、收储、加工、营销一体化的产业链。</w:t>
            </w:r>
          </w:p>
          <w:p w14:paraId="611AEAB1">
            <w:pPr>
              <w:keepNext w:val="0"/>
              <w:keepLines w:val="0"/>
              <w:pageBreakBefore w:val="0"/>
              <w:widowControl w:val="0"/>
              <w:kinsoku/>
              <w:wordWrap/>
              <w:overflowPunct/>
              <w:topLinePunct w:val="0"/>
              <w:autoSpaceDE/>
              <w:autoSpaceDN/>
              <w:bidi w:val="0"/>
              <w:adjustRightInd/>
              <w:snapToGrid/>
              <w:spacing w:line="380" w:lineRule="exact"/>
              <w:ind w:firstLine="480"/>
              <w:textAlignment w:val="auto"/>
              <w:rPr>
                <w:rFonts w:cs="Times New Roman"/>
                <w:kern w:val="0"/>
                <w:sz w:val="24"/>
              </w:rPr>
            </w:pPr>
            <w:r>
              <w:rPr>
                <w:rFonts w:eastAsia="楷体_GB2312" w:cs="Times New Roman"/>
                <w:kern w:val="0"/>
                <w:sz w:val="24"/>
              </w:rPr>
              <w:t>绿色蔬果产业强链行动</w:t>
            </w:r>
            <w:r>
              <w:rPr>
                <w:rFonts w:cs="Times New Roman"/>
                <w:kern w:val="0"/>
                <w:sz w:val="24"/>
              </w:rPr>
              <w:t>。扩大草莓、西甜瓜等品种种植规模，发展净菜加工、即食蔬果和混合脆片等精深加工，培育中央厨房、冷链鲜切和预制菜供应链。</w:t>
            </w:r>
          </w:p>
          <w:p w14:paraId="60AA85A7">
            <w:pPr>
              <w:keepNext w:val="0"/>
              <w:keepLines w:val="0"/>
              <w:pageBreakBefore w:val="0"/>
              <w:widowControl w:val="0"/>
              <w:kinsoku/>
              <w:wordWrap/>
              <w:overflowPunct/>
              <w:topLinePunct w:val="0"/>
              <w:autoSpaceDE/>
              <w:autoSpaceDN/>
              <w:bidi w:val="0"/>
              <w:adjustRightInd/>
              <w:snapToGrid/>
              <w:spacing w:line="380" w:lineRule="exact"/>
              <w:ind w:firstLine="480"/>
              <w:textAlignment w:val="auto"/>
              <w:rPr>
                <w:rFonts w:cs="Times New Roman"/>
                <w:kern w:val="0"/>
                <w:sz w:val="24"/>
              </w:rPr>
            </w:pPr>
            <w:r>
              <w:rPr>
                <w:rFonts w:eastAsia="楷体_GB2312" w:cs="Times New Roman"/>
                <w:kern w:val="0"/>
                <w:sz w:val="24"/>
              </w:rPr>
              <w:t>特粮特经产业增效行动</w:t>
            </w:r>
            <w:r>
              <w:rPr>
                <w:rFonts w:cs="Times New Roman"/>
                <w:kern w:val="0"/>
                <w:sz w:val="24"/>
              </w:rPr>
              <w:t>。以“海门大红袍赤豆”“海门大白皮蚕豆”“海门香芋”“万年香沙芋艿”等为核心，推动特色粮食与经济作物标准化生产，开发芋粉休闲食品、低GI功能性食品及特色食品原料，拓展出口与高端定制渠道，强化地理标志运营与产业融合。</w:t>
            </w:r>
          </w:p>
          <w:p w14:paraId="08D65374">
            <w:pPr>
              <w:keepNext w:val="0"/>
              <w:keepLines w:val="0"/>
              <w:pageBreakBefore w:val="0"/>
              <w:widowControl w:val="0"/>
              <w:kinsoku/>
              <w:wordWrap/>
              <w:overflowPunct/>
              <w:topLinePunct w:val="0"/>
              <w:autoSpaceDE/>
              <w:autoSpaceDN/>
              <w:bidi w:val="0"/>
              <w:adjustRightInd/>
              <w:snapToGrid/>
              <w:spacing w:line="380" w:lineRule="exact"/>
              <w:ind w:firstLine="480"/>
              <w:textAlignment w:val="auto"/>
              <w:rPr>
                <w:rFonts w:cs="Times New Roman"/>
              </w:rPr>
            </w:pPr>
            <w:r>
              <w:rPr>
                <w:rFonts w:eastAsia="楷体_GB2312" w:cs="Times New Roman"/>
                <w:kern w:val="0"/>
                <w:sz w:val="24"/>
              </w:rPr>
              <w:t>四青作物产业振兴行动</w:t>
            </w:r>
            <w:r>
              <w:rPr>
                <w:rFonts w:cs="Times New Roman"/>
                <w:kern w:val="0"/>
                <w:sz w:val="24"/>
              </w:rPr>
              <w:t>。围绕青玉米、青毛豆、青蚕豆、青花生等“四青”作物，推行标准化、机械化生产，加强速冻、保鲜技术应用与开发，建设产地冷链集配中心，创新线上线下营销和产销对接模式，做强区域特色品牌。</w:t>
            </w:r>
          </w:p>
        </w:tc>
      </w:tr>
    </w:tbl>
    <w:p w14:paraId="0525C66B">
      <w:pPr>
        <w:ind w:firstLine="0" w:firstLineChars="0"/>
        <w:rPr>
          <w:rFonts w:cs="Times New Roman"/>
        </w:rPr>
      </w:pPr>
    </w:p>
    <w:p w14:paraId="1539AEFF">
      <w:pPr>
        <w:rPr>
          <w:rFonts w:cs="Times New Roman"/>
        </w:rPr>
      </w:pPr>
      <w:r>
        <w:rPr>
          <w:rFonts w:eastAsia="楷体_GB2312" w:cs="Times New Roman"/>
        </w:rPr>
        <w:t>大力推进品牌强农</w:t>
      </w:r>
      <w:r>
        <w:rPr>
          <w:rFonts w:cs="Times New Roman"/>
        </w:rPr>
        <w:t>。实施“1+N”农业品牌精品培育计划，做强“謇韵农香”等区域公用品牌，打响“海门山羊”“海门黄鸡”“海门香芋”“万年香沙芋艿”“海门大红袍赤豆”“海门大白皮蚕豆”等国家地理标志品牌。强化食用农产品全链条质量监管，完善标准、检测、信用等体系建设。拓展品牌文化内涵，推动农业品牌与农耕文化、非遗元素有机融合，鼓励文创产品开发。提升品牌运营效率，办好“海门礼物”品牌推介会，加强媒体合作与多渠道传播，提升品牌知名度。拓宽线上线下结合、产地市场直连的销售渠道，推广农村电商、直播带货、“交邮合作”、中央厨房、“海采商超”等销售模式，鼓励设立品牌消费体验馆、电商直播基地等。加强农业品牌诚信体系建设，维护品牌形象。</w:t>
      </w:r>
    </w:p>
    <w:p w14:paraId="60FB21FC">
      <w:pPr>
        <w:rPr>
          <w:rFonts w:eastAsia="方正仿宋_GBK" w:cs="Times New Roman"/>
        </w:rPr>
      </w:pPr>
      <w:r>
        <w:rPr>
          <w:rFonts w:eastAsia="楷体_GB2312" w:cs="Times New Roman"/>
        </w:rPr>
        <w:t>强化农业科技与装备支撑。</w:t>
      </w:r>
      <w:r>
        <w:rPr>
          <w:rFonts w:cs="Times New Roman"/>
        </w:rPr>
        <w:t>系统推进种业振兴五大行动，加强优质作物和畜禽遗传资源有效保护和高效利用，完善“1（作物种质资源圃）+2（畜禽保种场）”特色种质资源保护体系，培育若干个具有本地特色的优势种苗中心，创建国家级海门山羊核心育种场。深化与农业科研院校合作，搭建优质粮油、绿色蔬果、生态养殖等产学研平台，建好海门山羊产业、种业研究院，建强扩容国家级农业科技小院。构建“科技特派员+农业专业合作组织+农户”的科技服务模式，完善“1+3+4+11”区域性农业综合服务体系。推进农机农艺融合，实施农机补短板行动，推广智能绿色农机装备。到2030年，农作物耕种收综合机械化率达93%。</w:t>
      </w:r>
    </w:p>
    <w:p w14:paraId="1D53A6FA">
      <w:pPr>
        <w:rPr>
          <w:rFonts w:cs="Times New Roman"/>
        </w:rPr>
      </w:pPr>
      <w:r>
        <w:rPr>
          <w:rFonts w:eastAsia="楷体_GB2312" w:cs="Times New Roman"/>
        </w:rPr>
        <w:t>培育壮大现代农业经营主体。</w:t>
      </w:r>
      <w:r>
        <w:rPr>
          <w:rFonts w:cs="Times New Roman"/>
        </w:rPr>
        <w:t>推动家庭农场和合作社提质升级，组建一批家庭农场协会或联盟，鼓励条件成熟的合作社从单一环节服务向全产业链服务转型升级。引导龙头企业牵头组建产业化联合体，支持企业依托“公司+合作社+家庭农场”“公司+家庭农场+科研院校”等合作机制增强一体化经营能力。“十五五”期间，新培育省级以上农业龙头企业3家、营业收入超10亿元的农产品加工业企业2家。</w:t>
      </w:r>
    </w:p>
    <w:p w14:paraId="2D3983E9">
      <w:pPr>
        <w:pStyle w:val="3"/>
        <w:rPr>
          <w:rFonts w:ascii="Times New Roman" w:hAnsi="Times New Roman" w:cs="Times New Roman"/>
        </w:rPr>
      </w:pPr>
      <w:bookmarkStart w:id="654" w:name="_Toc15222"/>
      <w:bookmarkStart w:id="655" w:name="_Toc65"/>
      <w:bookmarkStart w:id="656" w:name="_Toc7011"/>
      <w:bookmarkStart w:id="657" w:name="_Toc10909"/>
      <w:bookmarkStart w:id="658" w:name="_Toc12759"/>
      <w:bookmarkStart w:id="659" w:name="_Toc7926"/>
      <w:bookmarkStart w:id="660" w:name="_Toc30884"/>
      <w:bookmarkStart w:id="661" w:name="_Toc27710"/>
      <w:bookmarkStart w:id="662" w:name="_Toc3194"/>
      <w:bookmarkStart w:id="663" w:name="_Toc21285"/>
      <w:bookmarkStart w:id="664" w:name="_Toc19250"/>
      <w:bookmarkStart w:id="665" w:name="_Toc8053"/>
      <w:bookmarkStart w:id="666" w:name="_Toc1238"/>
      <w:bookmarkStart w:id="667" w:name="_Toc4353"/>
      <w:r>
        <w:rPr>
          <w:rFonts w:ascii="Times New Roman" w:hAnsi="Times New Roman" w:cs="Times New Roman"/>
        </w:rPr>
        <w:t>第二节  建设</w:t>
      </w:r>
      <w:r>
        <w:rPr>
          <w:rStyle w:val="26"/>
          <w:rFonts w:ascii="Times New Roman" w:hAnsi="Times New Roman" w:cs="Times New Roman"/>
        </w:rPr>
        <w:t>宜</w:t>
      </w:r>
      <w:r>
        <w:rPr>
          <w:rFonts w:ascii="Times New Roman" w:hAnsi="Times New Roman" w:cs="Times New Roman"/>
        </w:rPr>
        <w:t>居宜业和美乡村</w:t>
      </w:r>
      <w:bookmarkEnd w:id="654"/>
      <w:bookmarkEnd w:id="655"/>
      <w:bookmarkEnd w:id="656"/>
      <w:bookmarkEnd w:id="657"/>
      <w:bookmarkEnd w:id="658"/>
      <w:bookmarkEnd w:id="659"/>
      <w:bookmarkEnd w:id="660"/>
      <w:bookmarkEnd w:id="661"/>
      <w:bookmarkEnd w:id="662"/>
      <w:bookmarkEnd w:id="663"/>
      <w:bookmarkEnd w:id="664"/>
      <w:bookmarkEnd w:id="665"/>
      <w:bookmarkEnd w:id="666"/>
      <w:bookmarkEnd w:id="667"/>
    </w:p>
    <w:p w14:paraId="1286593D">
      <w:pPr>
        <w:rPr>
          <w:rFonts w:cs="Times New Roman"/>
        </w:rPr>
      </w:pPr>
      <w:r>
        <w:rPr>
          <w:rFonts w:eastAsia="楷体_GB2312" w:cs="Times New Roman"/>
        </w:rPr>
        <w:t>提升村庄规划建设水平</w:t>
      </w:r>
      <w:r>
        <w:rPr>
          <w:rFonts w:cs="Times New Roman"/>
        </w:rPr>
        <w:t>。强化镇村布局规划实施与动态更新，结合实际需求动态完善村庄规划，推动镇村空间布局更趋合理。根据不同村庄类型开展差别化村庄建设引导，全方位增强集聚提升类村庄产业发展和服务配套能力，指导特色保护类村庄加强空间设计和传统风貌保护，推动城郊融合类村庄有机融合城市形态和乡村特色，持续做好其他一般村庄环境整洁卫生长效管理和维护。在保障村民基本生活服务需求的前提下，适度放宽其他一般村和搬迁撤并类村庄的农房建设限制。合理确定村庄建设重点，优先建设既方便生活又促进生产的项目。</w:t>
      </w:r>
    </w:p>
    <w:p w14:paraId="471A3999">
      <w:pPr>
        <w:rPr>
          <w:rFonts w:cs="Times New Roman"/>
        </w:rPr>
      </w:pPr>
      <w:r>
        <w:rPr>
          <w:rFonts w:eastAsia="楷体_GB2312" w:cs="Times New Roman"/>
          <w:szCs w:val="32"/>
        </w:rPr>
        <w:t>强化宜居宜业和美乡村</w:t>
      </w:r>
      <w:r>
        <w:rPr>
          <w:rFonts w:hint="eastAsia" w:eastAsia="楷体_GB2312" w:cs="Times New Roman"/>
          <w:szCs w:val="32"/>
        </w:rPr>
        <w:t>建设</w:t>
      </w:r>
      <w:r>
        <w:rPr>
          <w:rFonts w:cs="Times New Roman"/>
        </w:rPr>
        <w:t>。深入实施乡村建设行动，按照“十有”标准，持续推进宜居宜业和美乡村</w:t>
      </w:r>
      <w:bookmarkStart w:id="668" w:name="OLE_LINK76"/>
      <w:bookmarkStart w:id="669" w:name="OLE_LINK75"/>
      <w:r>
        <w:rPr>
          <w:rFonts w:cs="Times New Roman"/>
        </w:rPr>
        <w:t>及</w:t>
      </w:r>
      <w:bookmarkEnd w:id="668"/>
      <w:bookmarkEnd w:id="669"/>
      <w:r>
        <w:rPr>
          <w:rFonts w:cs="Times New Roman"/>
        </w:rPr>
        <w:t>片区建设，彰显江海田园乡村特色风貌。推动村庄多村连建、组团发展，强化规划设计、乡村建设、产业发展、富民增收和乡村治理“五个协同”，完善“规划共编</w:t>
      </w:r>
      <w:r>
        <w:rPr>
          <w:rFonts w:hint="eastAsia" w:cs="Times New Roman"/>
          <w:lang w:eastAsia="zh-CN"/>
        </w:rPr>
        <w:t>—</w:t>
      </w:r>
      <w:r>
        <w:rPr>
          <w:rFonts w:cs="Times New Roman"/>
        </w:rPr>
        <w:t>要素共享</w:t>
      </w:r>
      <w:r>
        <w:rPr>
          <w:rFonts w:hint="eastAsia" w:cs="Times New Roman"/>
          <w:lang w:eastAsia="zh-CN"/>
        </w:rPr>
        <w:t>—</w:t>
      </w:r>
      <w:r>
        <w:rPr>
          <w:rFonts w:cs="Times New Roman"/>
        </w:rPr>
        <w:t>生态共治</w:t>
      </w:r>
      <w:r>
        <w:rPr>
          <w:rFonts w:hint="eastAsia" w:cs="Times New Roman"/>
          <w:lang w:eastAsia="zh-CN"/>
        </w:rPr>
        <w:t>—</w:t>
      </w:r>
      <w:r>
        <w:rPr>
          <w:rFonts w:cs="Times New Roman"/>
        </w:rPr>
        <w:t>产业共兴</w:t>
      </w:r>
      <w:r>
        <w:rPr>
          <w:rFonts w:hint="eastAsia" w:cs="Times New Roman"/>
          <w:lang w:eastAsia="zh-CN"/>
        </w:rPr>
        <w:t>—</w:t>
      </w:r>
      <w:r>
        <w:rPr>
          <w:rFonts w:cs="Times New Roman"/>
        </w:rPr>
        <w:t>治理共融”的区域协同型乡村复合发展机制，高标准建设张謇故里宜居宜业和美乡村片区</w:t>
      </w:r>
      <w:r>
        <w:rPr>
          <w:rFonts w:hint="eastAsia" w:cs="Times New Roman"/>
        </w:rPr>
        <w:t>。</w:t>
      </w:r>
      <w:r>
        <w:rPr>
          <w:rFonts w:cs="Times New Roman"/>
        </w:rPr>
        <w:t>巩固提升特色田园乡村建设成果，开展特色田园建设示范。加大传统村落保护力度。到2030年，新增省级宜居宜业和美乡村20个。</w:t>
      </w:r>
    </w:p>
    <w:p w14:paraId="54208483">
      <w:pPr>
        <w:rPr>
          <w:rFonts w:eastAsia="方正仿宋_GBK" w:cs="Times New Roman"/>
        </w:rPr>
      </w:pPr>
      <w:r>
        <w:rPr>
          <w:rFonts w:eastAsia="楷体_GB2312" w:cs="Times New Roman"/>
        </w:rPr>
        <w:t>提升乡村人居环境品质。</w:t>
      </w:r>
      <w:r>
        <w:rPr>
          <w:rFonts w:cs="Times New Roman"/>
        </w:rPr>
        <w:t>常态化开展“四清一治一改”村庄清洁行动，巩固提升农村生活垃圾、污水、厕所“三大革命”成果，健全农村人居环境整治长效管护机制，培育农村人居环境整治提升工作先进村。深化农村住房条件改善专项行动，持续推进农村C、D级危房动态清零，全面完成1980年及以前建设且农户有意愿的农房改造改善，鼓励开展1981年到2000年所建农村住房改善。完善乡村公共配套，有序开发农村分布式可再生能源，推动重点村镇按需补齐公共充换电设施短板。深化农村生态河道建设</w:t>
      </w:r>
      <w:r>
        <w:rPr>
          <w:rFonts w:cs="Times New Roman"/>
          <w:bCs/>
          <w:szCs w:val="32"/>
        </w:rPr>
        <w:t>。</w:t>
      </w:r>
      <w:r>
        <w:rPr>
          <w:rFonts w:cs="Times New Roman"/>
        </w:rPr>
        <w:t>到2030年，改善农房3000户，</w:t>
      </w:r>
      <w:r>
        <w:rPr>
          <w:rFonts w:cs="Times New Roman"/>
          <w:bCs/>
          <w:szCs w:val="32"/>
        </w:rPr>
        <w:t>农村生态河道建成率达85%，农村生活污水治理管控率达</w:t>
      </w:r>
      <w:r>
        <w:rPr>
          <w:rFonts w:eastAsia="方正仿宋_GBK" w:cs="Times New Roman"/>
          <w:szCs w:val="32"/>
        </w:rPr>
        <w:t>85</w:t>
      </w:r>
      <w:r>
        <w:rPr>
          <w:rFonts w:cs="Times New Roman"/>
          <w:bCs/>
          <w:szCs w:val="32"/>
        </w:rPr>
        <w:t>%。</w:t>
      </w:r>
    </w:p>
    <w:p w14:paraId="7E887EEF">
      <w:pPr>
        <w:pStyle w:val="3"/>
        <w:rPr>
          <w:rFonts w:ascii="Times New Roman" w:hAnsi="Times New Roman" w:cs="Times New Roman"/>
        </w:rPr>
      </w:pPr>
      <w:bookmarkStart w:id="670" w:name="_Toc499"/>
      <w:bookmarkStart w:id="671" w:name="_Toc21106"/>
      <w:bookmarkStart w:id="672" w:name="_Toc32210"/>
      <w:bookmarkStart w:id="673" w:name="_Toc18440"/>
      <w:bookmarkStart w:id="674" w:name="_Toc30502"/>
      <w:bookmarkStart w:id="675" w:name="_Toc22034"/>
      <w:bookmarkStart w:id="676" w:name="_Toc25244"/>
      <w:bookmarkStart w:id="677" w:name="_Toc23898"/>
      <w:bookmarkStart w:id="678" w:name="_Toc10061"/>
      <w:bookmarkStart w:id="679" w:name="_Toc1028"/>
      <w:bookmarkStart w:id="680" w:name="_Toc27203"/>
      <w:bookmarkStart w:id="681" w:name="_Toc23666"/>
      <w:bookmarkStart w:id="682" w:name="_Toc9593"/>
      <w:bookmarkStart w:id="683" w:name="_Toc23017"/>
      <w:r>
        <w:rPr>
          <w:rFonts w:ascii="Times New Roman" w:hAnsi="Times New Roman" w:cs="Times New Roman"/>
        </w:rPr>
        <w:t>第三节  放大农村综合改革集成效应</w:t>
      </w:r>
      <w:bookmarkEnd w:id="670"/>
      <w:bookmarkEnd w:id="671"/>
      <w:bookmarkEnd w:id="672"/>
      <w:bookmarkEnd w:id="673"/>
      <w:bookmarkEnd w:id="674"/>
      <w:bookmarkEnd w:id="675"/>
      <w:bookmarkEnd w:id="676"/>
      <w:bookmarkEnd w:id="677"/>
      <w:bookmarkEnd w:id="678"/>
      <w:bookmarkEnd w:id="679"/>
      <w:bookmarkEnd w:id="680"/>
      <w:bookmarkEnd w:id="681"/>
      <w:bookmarkEnd w:id="682"/>
      <w:bookmarkEnd w:id="683"/>
    </w:p>
    <w:p w14:paraId="557AA5DD">
      <w:pPr>
        <w:rPr>
          <w:rFonts w:eastAsia="方正仿宋_GBK" w:cs="Times New Roman"/>
          <w:szCs w:val="32"/>
        </w:rPr>
      </w:pPr>
      <w:r>
        <w:rPr>
          <w:rFonts w:eastAsia="楷体_GB2312" w:cs="Times New Roman"/>
        </w:rPr>
        <w:t>提升村集体经济发展水平。</w:t>
      </w:r>
      <w:r>
        <w:rPr>
          <w:rFonts w:cs="Times New Roman"/>
          <w:kern w:val="21"/>
        </w:rPr>
        <w:t>持续拓宽集体经济发展路径，</w:t>
      </w:r>
      <w:r>
        <w:rPr>
          <w:rFonts w:cs="Times New Roman"/>
        </w:rPr>
        <w:t>发展物业经济、产业经济、理财经济、融合经济和服务经济等多种经营方式。鼓励有条件的村</w:t>
      </w:r>
      <w:r>
        <w:rPr>
          <w:rFonts w:cs="Times New Roman"/>
          <w:szCs w:val="32"/>
        </w:rPr>
        <w:t>引入乡村职业经理人、专业化运营公司，提升整村运营水平，打造一批网红村、乡野硅谷、数字游民社区。深入开展村集体资金、资产、资源“三资”专项整治，</w:t>
      </w:r>
      <w:r>
        <w:rPr>
          <w:rFonts w:cs="Times New Roman"/>
        </w:rPr>
        <w:t>持续健全农村集体资产监管体系</w:t>
      </w:r>
      <w:r>
        <w:rPr>
          <w:rFonts w:cs="Times New Roman"/>
          <w:szCs w:val="32"/>
        </w:rPr>
        <w:t>。推进农村产权交易规范化发展。</w:t>
      </w:r>
    </w:p>
    <w:p w14:paraId="5D39DFAF">
      <w:pPr>
        <w:rPr>
          <w:rFonts w:eastAsia="方正仿宋_GBK" w:cs="Times New Roman"/>
        </w:rPr>
      </w:pPr>
      <w:r>
        <w:rPr>
          <w:rFonts w:eastAsia="楷体_GB2312" w:cs="Times New Roman"/>
        </w:rPr>
        <w:t>深化农村土地制度改革。</w:t>
      </w:r>
      <w:r>
        <w:rPr>
          <w:rFonts w:cs="Times New Roman"/>
        </w:rPr>
        <w:t>以乡镇为单元，推进全域土地综合整治，重点推进“小田并大田”，加强零星建设用地整理，根据实际发展需求对空间布局进行适度优化。深化农村土地“三权”分置改革，</w:t>
      </w:r>
      <w:r>
        <w:rPr>
          <w:rFonts w:hint="eastAsia" w:ascii="仿宋_GB2312" w:hAnsi="仿宋_GB2312" w:eastAsia="仿宋_GB2312" w:cs="仿宋_GB2312"/>
        </w:rPr>
        <w:t>稳慎推进二轮承包到期后再延长三十年工作，</w:t>
      </w:r>
      <w:r>
        <w:rPr>
          <w:rFonts w:cs="Times New Roman"/>
        </w:rPr>
        <w:t>规范土地承包经营权流转交易程序。完善农民建房管理机制，调整农民建房政策，鼓励农户依法盘活利用闲置住房，有序推进新型农村社区建设。探索老旧“空关房”改造提升与盘活利用路径，鼓励村集体经济组织统一盘活利用。节约集约利用农村集体经营性建设用地，按照国家部署安排适时推进农村集体经营性建设用地入市改革。</w:t>
      </w:r>
    </w:p>
    <w:p w14:paraId="10471298">
      <w:pPr>
        <w:rPr>
          <w:rFonts w:cs="Times New Roman"/>
        </w:rPr>
        <w:sectPr>
          <w:pgSz w:w="11906" w:h="16838"/>
          <w:pgMar w:top="1814" w:right="1531" w:bottom="1984" w:left="1531" w:header="510" w:footer="1474" w:gutter="0"/>
          <w:cols w:space="0" w:num="1"/>
          <w:docGrid w:type="lines" w:linePitch="312" w:charSpace="0"/>
        </w:sectPr>
      </w:pPr>
      <w:r>
        <w:rPr>
          <w:rFonts w:eastAsia="楷体_GB2312" w:cs="Times New Roman"/>
        </w:rPr>
        <w:t>畅通城乡要素流通渠道。</w:t>
      </w:r>
      <w:r>
        <w:rPr>
          <w:rFonts w:cs="Times New Roman"/>
        </w:rPr>
        <w:t>提升农业转移人口市民化质量，依法维护进城落户农民的土地承包权、宅基地使用权、集体收益分配权。</w:t>
      </w:r>
      <w:r>
        <w:rPr>
          <w:rFonts w:cs="Times New Roman"/>
          <w:szCs w:val="32"/>
        </w:rPr>
        <w:t>实施“新农人”培育行动计划，强化“新农创”“新农匠”“新农服”“新农商”“新农干”等政策扶持，培育一批直播电商、乡村经营等方面“新农人”，落实“乡村合伙人”计划，吸引更多科技人才、青年人投身乡村振兴。</w:t>
      </w:r>
      <w:r>
        <w:rPr>
          <w:rFonts w:cs="Times New Roman"/>
        </w:rPr>
        <w:t>规范引导工商资本有序投入农业农村，创新金融支农模式，发展农业保险、涉农信贷担保，拓宽农村资产抵质押范围，推广</w:t>
      </w:r>
      <w:r>
        <w:rPr>
          <w:rFonts w:cs="Times New Roman"/>
          <w:szCs w:val="32"/>
          <w:lang w:bidi="ar"/>
        </w:rPr>
        <w:t>“苏农贷”</w:t>
      </w:r>
      <w:r>
        <w:rPr>
          <w:rFonts w:cs="Times New Roman"/>
        </w:rPr>
        <w:t>“富农易贷”等普惠产品，</w:t>
      </w:r>
      <w:r>
        <w:rPr>
          <w:rFonts w:cs="Times New Roman"/>
          <w:szCs w:val="32"/>
          <w:lang w:bidi="ar"/>
        </w:rPr>
        <w:t>鼓励金融机构发行“三农”、小微、绿色等金融债券，</w:t>
      </w:r>
      <w:r>
        <w:rPr>
          <w:rFonts w:cs="Times New Roman"/>
        </w:rPr>
        <w:t>创新村银结对模式。</w:t>
      </w:r>
    </w:p>
    <w:p w14:paraId="11A118C7">
      <w:pPr>
        <w:pStyle w:val="2"/>
        <w:rPr>
          <w:rFonts w:ascii="Times New Roman" w:hAnsi="Times New Roman" w:cs="Times New Roman"/>
        </w:rPr>
      </w:pPr>
      <w:bookmarkStart w:id="684" w:name="_Toc3206"/>
      <w:bookmarkStart w:id="685" w:name="_Toc29655"/>
      <w:bookmarkStart w:id="686" w:name="_Toc27092"/>
      <w:bookmarkStart w:id="687" w:name="_Toc24430"/>
      <w:bookmarkStart w:id="688" w:name="_Toc23936"/>
      <w:bookmarkStart w:id="689" w:name="_Toc18553"/>
      <w:bookmarkStart w:id="690" w:name="_Toc10014"/>
      <w:bookmarkStart w:id="691" w:name="_Toc7570"/>
      <w:bookmarkStart w:id="692" w:name="_Toc8788"/>
      <w:r>
        <w:rPr>
          <w:rFonts w:ascii="Times New Roman" w:hAnsi="Times New Roman" w:cs="Times New Roman"/>
        </w:rPr>
        <w:t>第十一章  推进人文经济学海门新实践  更好以文化赋能经济社会发展</w:t>
      </w:r>
      <w:bookmarkEnd w:id="684"/>
      <w:bookmarkEnd w:id="685"/>
      <w:bookmarkEnd w:id="686"/>
      <w:bookmarkEnd w:id="687"/>
      <w:bookmarkEnd w:id="688"/>
      <w:bookmarkEnd w:id="689"/>
      <w:bookmarkEnd w:id="690"/>
      <w:bookmarkEnd w:id="691"/>
      <w:bookmarkEnd w:id="692"/>
    </w:p>
    <w:p w14:paraId="6C404FAD">
      <w:pPr>
        <w:rPr>
          <w:rFonts w:cs="Times New Roman"/>
        </w:rPr>
      </w:pPr>
      <w:r>
        <w:rPr>
          <w:rFonts w:cs="Times New Roman"/>
          <w:kern w:val="0"/>
          <w:szCs w:val="32"/>
          <w:lang w:bidi="ar"/>
        </w:rPr>
        <w:t>深入践行习近平文化思想</w:t>
      </w:r>
      <w:r>
        <w:rPr>
          <w:rFonts w:cs="Times New Roman"/>
          <w:szCs w:val="32"/>
        </w:rPr>
        <w:t>，统筹发展文化事业和文化产业</w:t>
      </w:r>
      <w:r>
        <w:rPr>
          <w:rFonts w:cs="Times New Roman"/>
          <w:kern w:val="0"/>
          <w:szCs w:val="32"/>
          <w:lang w:bidi="ar"/>
        </w:rPr>
        <w:t>，打造具有海门特色的文化标识、具有群众喜爱度的文体服务产品、具有消费吸引力的文旅业态，</w:t>
      </w:r>
      <w:r>
        <w:rPr>
          <w:rFonts w:cs="Times New Roman"/>
          <w:szCs w:val="32"/>
        </w:rPr>
        <w:t>以文体旅融合发展塑造人文经济新亮点、擦亮城市文化金名片，实现人文价值与经济效能双提升。</w:t>
      </w:r>
    </w:p>
    <w:p w14:paraId="7A3D8153">
      <w:pPr>
        <w:pStyle w:val="3"/>
        <w:rPr>
          <w:rFonts w:ascii="Times New Roman" w:hAnsi="Times New Roman" w:cs="Times New Roman"/>
        </w:rPr>
      </w:pPr>
      <w:bookmarkStart w:id="693" w:name="_Toc9677"/>
      <w:bookmarkStart w:id="694" w:name="_Toc18451"/>
      <w:bookmarkStart w:id="695" w:name="_Toc9021"/>
      <w:bookmarkStart w:id="696" w:name="_Toc21318"/>
      <w:bookmarkStart w:id="697" w:name="_Toc6309"/>
      <w:bookmarkStart w:id="698" w:name="_Toc1679"/>
      <w:bookmarkStart w:id="699" w:name="_Toc16720"/>
      <w:bookmarkStart w:id="700" w:name="_Toc13010"/>
      <w:bookmarkStart w:id="701" w:name="_Toc26076"/>
      <w:r>
        <w:rPr>
          <w:rFonts w:ascii="Times New Roman" w:hAnsi="Times New Roman" w:cs="Times New Roman"/>
        </w:rPr>
        <w:t>第一节  强化思想价值引领</w:t>
      </w:r>
      <w:bookmarkEnd w:id="693"/>
      <w:bookmarkEnd w:id="694"/>
      <w:bookmarkEnd w:id="695"/>
      <w:bookmarkEnd w:id="696"/>
      <w:bookmarkEnd w:id="697"/>
      <w:bookmarkEnd w:id="698"/>
      <w:bookmarkEnd w:id="699"/>
      <w:bookmarkEnd w:id="700"/>
      <w:bookmarkEnd w:id="701"/>
    </w:p>
    <w:p w14:paraId="2497597F">
      <w:pPr>
        <w:rPr>
          <w:rFonts w:cs="Times New Roman"/>
          <w:szCs w:val="32"/>
        </w:rPr>
      </w:pPr>
      <w:r>
        <w:rPr>
          <w:rFonts w:eastAsia="楷体_GB2312" w:cs="Times New Roman"/>
          <w:szCs w:val="32"/>
        </w:rPr>
        <w:t>深化社会主义核心价值观引领</w:t>
      </w:r>
      <w:r>
        <w:rPr>
          <w:rFonts w:cs="Times New Roman"/>
          <w:kern w:val="0"/>
          <w:szCs w:val="32"/>
          <w:lang w:bidi="ar"/>
        </w:rPr>
        <w:t>。坚持不懈用习近平新时代中国特色社会主义思想凝心铸魂，发挥“两中心一平台”作用，深化党的创新理论学习和宣传教育。落实党的创新理论体系化学理化研究阐释工程</w:t>
      </w:r>
      <w:r>
        <w:rPr>
          <w:rFonts w:cs="Times New Roman"/>
          <w:szCs w:val="32"/>
        </w:rPr>
        <w:t>，</w:t>
      </w:r>
      <w:r>
        <w:rPr>
          <w:rFonts w:cs="Times New Roman"/>
          <w:kern w:val="0"/>
          <w:szCs w:val="32"/>
          <w:lang w:bidi="ar"/>
        </w:rPr>
        <w:t>推出一批具有海门特色、在全省有影响力的研究成果</w:t>
      </w:r>
      <w:r>
        <w:rPr>
          <w:rFonts w:cs="Times New Roman"/>
          <w:szCs w:val="32"/>
        </w:rPr>
        <w:t>。</w:t>
      </w:r>
      <w:r>
        <w:rPr>
          <w:rFonts w:cs="Times New Roman"/>
          <w:kern w:val="0"/>
          <w:szCs w:val="32"/>
          <w:lang w:bidi="ar"/>
        </w:rPr>
        <w:t>实施党的创新理论传播工程，</w:t>
      </w:r>
      <w:r>
        <w:rPr>
          <w:rFonts w:cs="Times New Roman"/>
          <w:szCs w:val="32"/>
        </w:rPr>
        <w:t>发挥区委理论学习中心组省级示范点带动引领作用，</w:t>
      </w:r>
      <w:r>
        <w:rPr>
          <w:rFonts w:cs="Times New Roman"/>
          <w:kern w:val="0"/>
          <w:szCs w:val="32"/>
          <w:lang w:bidi="ar"/>
        </w:rPr>
        <w:t>用好理论学习平台、理</w:t>
      </w:r>
      <w:r>
        <w:rPr>
          <w:rFonts w:cs="Times New Roman"/>
          <w:szCs w:val="32"/>
        </w:rPr>
        <w:t>论工作室等载体，放大“理响通城·听潮声”“东洲思享”等理论宣讲品牌效应，构建多元化理论宣讲品牌矩阵</w:t>
      </w:r>
      <w:r>
        <w:rPr>
          <w:rFonts w:cs="Times New Roman"/>
          <w:kern w:val="0"/>
          <w:szCs w:val="32"/>
          <w:lang w:bidi="ar"/>
        </w:rPr>
        <w:t>。深化革命传统教育、爱国主义教育，持续加强党史、新中国史、改革开放史、社会主义发展史宣传教育，</w:t>
      </w:r>
      <w:r>
        <w:rPr>
          <w:rFonts w:cs="Times New Roman"/>
          <w:szCs w:val="32"/>
        </w:rPr>
        <w:t>创新组织各类群众性主题活动，推动理想信念教育常态化制度化。</w:t>
      </w:r>
      <w:r>
        <w:rPr>
          <w:rFonts w:cs="Times New Roman"/>
          <w:kern w:val="0"/>
          <w:szCs w:val="32"/>
          <w:lang w:bidi="ar"/>
        </w:rPr>
        <w:t>夯实思想文化根基，铸牢中华民族共同体意识，推动民族团结进步，维护宗教和睦</w:t>
      </w:r>
      <w:r>
        <w:rPr>
          <w:rFonts w:cs="Times New Roman"/>
          <w:szCs w:val="32"/>
        </w:rPr>
        <w:t>。</w:t>
      </w:r>
    </w:p>
    <w:p w14:paraId="5D5118DA">
      <w:pPr>
        <w:rPr>
          <w:rFonts w:cs="Times New Roman"/>
          <w:szCs w:val="32"/>
        </w:rPr>
      </w:pPr>
      <w:r>
        <w:rPr>
          <w:rFonts w:eastAsia="楷体_GB2312" w:cs="Times New Roman"/>
          <w:szCs w:val="32"/>
        </w:rPr>
        <w:t>提升主流舆论引导能力。</w:t>
      </w:r>
      <w:r>
        <w:rPr>
          <w:rFonts w:cs="Times New Roman"/>
          <w:kern w:val="0"/>
          <w:szCs w:val="32"/>
          <w:lang w:bidi="ar"/>
        </w:rPr>
        <w:t>开展融媒体新闻行动，建好</w:t>
      </w:r>
      <w:r>
        <w:rPr>
          <w:rFonts w:cs="Times New Roman"/>
          <w:szCs w:val="32"/>
        </w:rPr>
        <w:t>区融媒体中心</w:t>
      </w:r>
      <w:r>
        <w:rPr>
          <w:rFonts w:cs="Times New Roman"/>
          <w:kern w:val="0"/>
          <w:szCs w:val="32"/>
          <w:lang w:bidi="ar"/>
        </w:rPr>
        <w:t>，</w:t>
      </w:r>
      <w:r>
        <w:rPr>
          <w:rFonts w:cs="Times New Roman"/>
          <w:szCs w:val="32"/>
        </w:rPr>
        <w:t>健全网上网下一体、内宣外宣联动、重大媒体合作推进机制，做好年度重要会议活动、重要时间节点的宣传报道，加强海门现代化发展成果宣传发布。实施“精准外宣、融合外宣、品牌外宣”三大战略，增强国际传播能力，优化“1+N”国际传播体系，用好“中国海门”英文网站、“魅力海门”海外脸书等平台，唱响“魅力海门”外宣品牌。推进新闻宣传和网络舆论一体化管理。</w:t>
      </w:r>
    </w:p>
    <w:p w14:paraId="0B335A7C">
      <w:pPr>
        <w:bidi w:val="0"/>
      </w:pPr>
      <w:r>
        <w:rPr>
          <w:rFonts w:eastAsia="楷体_GB2312" w:cs="Times New Roman"/>
        </w:rPr>
        <w:t>推进城乡精神文明建设融合发展</w:t>
      </w:r>
      <w:r>
        <w:t>。探索从创建“文明城市”走向“城市文明”新路径，深化文明城市长效管理与现代科技融合，完善群众性精神文明建设机制。深化新时代文明实践中心（所、站）建设，推动文明实践“视界云”平台全覆盖，创新丰富“文明实践+”应用场景。深入开展“城乡结对、文明共建”活动，实施文明乡风建设工程和文明素质培育行动，持续推进移风易俗。优化先进典型选树宣传机制，深化道德讲堂赋能行动，定期开展“好人就在身边”“最美海门人”道德宣讲等巡回宣讲活动。健全诚信建设长效机制，开展诚信文化“六进”活动。加强志愿服务体系建设，持续擦亮“謇韵新风·志行东洲”志愿服务品牌。</w:t>
      </w:r>
    </w:p>
    <w:p w14:paraId="4C23011E">
      <w:pPr>
        <w:pStyle w:val="3"/>
        <w:rPr>
          <w:rFonts w:ascii="Times New Roman" w:hAnsi="Times New Roman" w:eastAsia="楷体_GB2312" w:cs="Times New Roman"/>
        </w:rPr>
      </w:pPr>
      <w:bookmarkStart w:id="702" w:name="_Toc28174"/>
      <w:bookmarkStart w:id="703" w:name="_Toc6807"/>
      <w:bookmarkStart w:id="704" w:name="_Toc14916"/>
      <w:bookmarkStart w:id="705" w:name="_Toc31399"/>
      <w:bookmarkStart w:id="706" w:name="_Toc6729"/>
      <w:bookmarkStart w:id="707" w:name="_Toc31636"/>
      <w:bookmarkStart w:id="708" w:name="_Toc16136"/>
      <w:bookmarkStart w:id="709" w:name="_Toc6916"/>
      <w:bookmarkStart w:id="710" w:name="_Toc8130"/>
      <w:r>
        <w:rPr>
          <w:rFonts w:ascii="Times New Roman" w:hAnsi="Times New Roman" w:cs="Times New Roman"/>
        </w:rPr>
        <w:t>第二节  打造城市文化</w:t>
      </w:r>
      <w:bookmarkEnd w:id="702"/>
      <w:bookmarkEnd w:id="703"/>
      <w:bookmarkEnd w:id="704"/>
      <w:r>
        <w:rPr>
          <w:rFonts w:ascii="Times New Roman" w:hAnsi="Times New Roman" w:cs="Times New Roman"/>
        </w:rPr>
        <w:t>名片</w:t>
      </w:r>
      <w:bookmarkEnd w:id="705"/>
      <w:bookmarkEnd w:id="706"/>
      <w:bookmarkEnd w:id="707"/>
      <w:bookmarkEnd w:id="708"/>
      <w:bookmarkEnd w:id="709"/>
      <w:bookmarkEnd w:id="710"/>
    </w:p>
    <w:p w14:paraId="75EEACF8">
      <w:pPr>
        <w:rPr>
          <w:rFonts w:eastAsia="方正仿宋_GBK" w:cs="Times New Roman"/>
          <w:szCs w:val="32"/>
        </w:rPr>
      </w:pPr>
      <w:r>
        <w:rPr>
          <w:rFonts w:eastAsia="楷体_GB2312" w:cs="Times New Roman"/>
        </w:rPr>
        <w:t>塑造城市特色文化标识。</w:t>
      </w:r>
      <w:r>
        <w:rPr>
          <w:rFonts w:cs="Times New Roman"/>
        </w:rPr>
        <w:t>加强张謇文化、江海文化、垦牧文化、山水田园文化等代表性地方文化研究、阐释和展示，推动第三轮地方志书编纂工作，激活张謇故里、教育之乡等城市文化符号，全面提升城市文化软实力与品牌影响力。推进张謇近代民族工业文化遗存保护与传承工程，梳理张謇实业救国、教育兴邦历史脉络，弘扬实业爱国精神。创新开展“读城”行动，推动</w:t>
      </w:r>
      <w:r>
        <w:rPr>
          <w:rFonts w:cs="Times New Roman"/>
          <w:szCs w:val="32"/>
        </w:rPr>
        <w:t>文化符号融入城市公共空间和日常生活场景。</w:t>
      </w:r>
      <w:r>
        <w:rPr>
          <w:rFonts w:cs="Times New Roman"/>
        </w:rPr>
        <w:t>保护传承地名文化，有序开展乡村著名行动，用“老地名”标识“新坐标”，用“好地名”注解“好地方”。</w:t>
      </w:r>
      <w:r>
        <w:rPr>
          <w:rFonts w:cs="Times New Roman"/>
          <w:szCs w:val="32"/>
        </w:rPr>
        <w:t>创新运用短视频、微短剧、动漫、赛事直播、时尚发布会等多元渠道开展IP化运营，打造城市虚拟形象代言人“江海侠”，开发官方文创产品品牌，提升海门文化传播力。</w:t>
      </w:r>
    </w:p>
    <w:p w14:paraId="606E9476">
      <w:pPr>
        <w:widowControl/>
        <w:jc w:val="left"/>
        <w:rPr>
          <w:rFonts w:cs="Times New Roman"/>
          <w:szCs w:val="32"/>
        </w:rPr>
      </w:pPr>
      <w:r>
        <w:rPr>
          <w:rFonts w:eastAsia="楷体_GB2312" w:cs="Times New Roman"/>
        </w:rPr>
        <w:t>焕发文物和文化遗产新活力</w:t>
      </w:r>
      <w:r>
        <w:rPr>
          <w:rFonts w:cs="Times New Roman"/>
        </w:rPr>
        <w:t>。</w:t>
      </w:r>
      <w:r>
        <w:rPr>
          <w:rFonts w:cs="Times New Roman"/>
          <w:kern w:val="0"/>
          <w:szCs w:val="32"/>
          <w:lang w:bidi="ar"/>
        </w:rPr>
        <w:t>加大文物保护修复力度，</w:t>
      </w:r>
      <w:r>
        <w:rPr>
          <w:rFonts w:cs="Times New Roman"/>
          <w:szCs w:val="32"/>
          <w:lang w:bidi="ar"/>
        </w:rPr>
        <w:t>完成第四次全国文物普查，建立区不可移动文物</w:t>
      </w:r>
      <w:r>
        <w:rPr>
          <w:rFonts w:cs="Times New Roman"/>
          <w:kern w:val="0"/>
          <w:szCs w:val="32"/>
          <w:lang w:bidi="ar"/>
        </w:rPr>
        <w:t>资源目录，推进张氏宅园旧址、武进士故居等文保单位保护修缮工程，加强文保单位有效利用，实施余东古镇保护开发</w:t>
      </w:r>
      <w:r>
        <w:rPr>
          <w:rFonts w:cs="Times New Roman"/>
        </w:rPr>
        <w:t>。用好革命文物和红色文化资源，加强革命红色遗址抢救性保护、修缮和合理利用。</w:t>
      </w:r>
      <w:r>
        <w:rPr>
          <w:rFonts w:cs="Times New Roman"/>
          <w:szCs w:val="32"/>
        </w:rPr>
        <w:t>深化“书香古韵江海行”古籍保护与普及工程。强化非物质文化遗产保护传承</w:t>
      </w:r>
      <w:r>
        <w:rPr>
          <w:rFonts w:hint="eastAsia" w:ascii="仿宋_GB2312" w:hAnsi="仿宋_GB2312" w:eastAsia="仿宋_GB2312" w:cs="仿宋_GB2312"/>
          <w:szCs w:val="32"/>
        </w:rPr>
        <w:t>，优化非遗代表性项目、传承人认定与管理制度，加强全区名录体系建设</w:t>
      </w:r>
      <w:r>
        <w:rPr>
          <w:rFonts w:hint="eastAsia" w:ascii="仿宋_GB2312" w:hAnsi="仿宋_GB2312" w:eastAsia="仿宋_GB2312" w:cs="仿宋_GB2312"/>
        </w:rPr>
        <w:t>。</w:t>
      </w:r>
      <w:r>
        <w:rPr>
          <w:rFonts w:cs="Times New Roman"/>
          <w:kern w:val="0"/>
          <w:szCs w:val="32"/>
          <w:lang w:bidi="ar"/>
        </w:rPr>
        <w:t>实施非遗传承展示工程，建设一批非遗大师工作室、体验工坊、展示馆和传习所，开展非遗“六进”等活动，推动非遗项目数字化展示、可视化普及。强化非遗项目活化利用，鼓励海门羊肉烹制技艺、颐生酒酿造技艺等开发“非遗+”产业融合项目，推动红木雕刻、沈绣、倪琴等非遗资源向文创产品转化，支持建设非遗创意产业产品基地、非遗旅游体验基地、非遗研学体验基地。到2030年，新增南通市级以上非遗项目6个、传承人10个、传承基地5个。</w:t>
      </w:r>
    </w:p>
    <w:p w14:paraId="0D426224">
      <w:pPr>
        <w:rPr>
          <w:rFonts w:cs="Times New Roman"/>
          <w:szCs w:val="32"/>
        </w:rPr>
      </w:pPr>
      <w:r>
        <w:rPr>
          <w:rFonts w:eastAsia="楷体_GB2312" w:cs="Times New Roman"/>
          <w:szCs w:val="32"/>
        </w:rPr>
        <w:t>繁荣</w:t>
      </w:r>
      <w:r>
        <w:rPr>
          <w:rFonts w:eastAsia="楷体_GB2312" w:cs="Times New Roman"/>
        </w:rPr>
        <w:t>精品艺术创作</w:t>
      </w:r>
      <w:r>
        <w:rPr>
          <w:rFonts w:eastAsia="楷体_GB2312" w:cs="Times New Roman"/>
          <w:szCs w:val="32"/>
        </w:rPr>
        <w:t>。</w:t>
      </w:r>
      <w:r>
        <w:rPr>
          <w:rFonts w:hint="eastAsia" w:ascii="仿宋_GB2312" w:hAnsi="仿宋_GB2312" w:eastAsia="仿宋_GB2312" w:cs="仿宋_GB2312"/>
          <w:szCs w:val="32"/>
        </w:rPr>
        <w:t>聚焦江海文化基因，</w:t>
      </w:r>
      <w:r>
        <w:rPr>
          <w:rFonts w:cs="Times New Roman"/>
          <w:szCs w:val="32"/>
        </w:rPr>
        <w:t>实施精品剧目、重温经典、精品书画、精品文学等重点工程，打造兼具时代价值与情感共鸣的文艺精品，持续推出具有海门辨识度的标志性成果。深入开展大众文化实践，繁荣互联网条件下新大众文艺。促进海门地方戏曲繁荣发展，打响“江海平原一枝花”艺术名片</w:t>
      </w:r>
      <w:r>
        <w:rPr>
          <w:rFonts w:cs="Times New Roman"/>
        </w:rPr>
        <w:t>。</w:t>
      </w:r>
      <w:r>
        <w:rPr>
          <w:rFonts w:cs="Times New Roman"/>
          <w:szCs w:val="32"/>
        </w:rPr>
        <w:t>完善小剧场剧目创作孵化生产链，打造更多小剧场精品剧目。深化海门山歌艺术剧院改革，探索形成“多演好戏、好戏多演”有效机制，完善院团激励机制。壮大本土艺术人才队伍，推动“海门文艺之家”建设，实施文艺“名师带徒”计划、“新人新作计划”，加大扎根本土的青年文艺人才培养力度。</w:t>
      </w:r>
      <w:r>
        <w:rPr>
          <w:rFonts w:cs="Times New Roman"/>
        </w:rPr>
        <w:t>实施</w:t>
      </w:r>
      <w:r>
        <w:rPr>
          <w:rFonts w:cs="Times New Roman"/>
          <w:szCs w:val="32"/>
        </w:rPr>
        <w:t>群众文艺创作扶持计划、群众文艺团体培</w:t>
      </w:r>
      <w:r>
        <w:rPr>
          <w:rFonts w:cs="Times New Roman"/>
          <w:snapToGrid w:val="0"/>
          <w:spacing w:val="6"/>
          <w:kern w:val="0"/>
          <w:szCs w:val="20"/>
        </w:rPr>
        <w:t>育工程，培育一批群众身边“不走的文化队伍”。</w:t>
      </w:r>
    </w:p>
    <w:tbl>
      <w:tblPr>
        <w:tblStyle w:val="2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60"/>
      </w:tblGrid>
      <w:tr w14:paraId="6CD742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60" w:type="dxa"/>
          </w:tcPr>
          <w:p w14:paraId="46BBA870">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eastAsia="黑体" w:cs="Times New Roman"/>
                <w:sz w:val="24"/>
              </w:rPr>
            </w:pPr>
            <w:r>
              <w:rPr>
                <w:rFonts w:eastAsia="黑体" w:cs="Times New Roman"/>
                <w:sz w:val="24"/>
              </w:rPr>
              <w:t>专栏19  文艺创作重点工程</w:t>
            </w:r>
          </w:p>
          <w:p w14:paraId="2839B4B8">
            <w:pPr>
              <w:keepNext w:val="0"/>
              <w:keepLines w:val="0"/>
              <w:pageBreakBefore w:val="0"/>
              <w:widowControl w:val="0"/>
              <w:kinsoku/>
              <w:wordWrap/>
              <w:overflowPunct/>
              <w:topLinePunct w:val="0"/>
              <w:autoSpaceDE/>
              <w:autoSpaceDN/>
              <w:bidi w:val="0"/>
              <w:adjustRightInd/>
              <w:snapToGrid/>
              <w:spacing w:line="400" w:lineRule="exact"/>
              <w:ind w:firstLine="480"/>
              <w:textAlignment w:val="auto"/>
              <w:rPr>
                <w:rFonts w:cs="Times New Roman"/>
                <w:kern w:val="0"/>
                <w:sz w:val="24"/>
              </w:rPr>
            </w:pPr>
            <w:r>
              <w:rPr>
                <w:rFonts w:eastAsia="楷体_GB2312" w:cs="Times New Roman"/>
                <w:kern w:val="0"/>
                <w:sz w:val="24"/>
              </w:rPr>
              <w:t>精品剧目工程</w:t>
            </w:r>
            <w:r>
              <w:rPr>
                <w:rFonts w:cs="Times New Roman"/>
                <w:kern w:val="0"/>
                <w:sz w:val="24"/>
              </w:rPr>
              <w:t>。制定精品剧目重点题材三年创作规划和年度创作计划，打磨提升山歌剧《常乐儿女》，创排山歌剧《江上桃源》。</w:t>
            </w:r>
          </w:p>
          <w:p w14:paraId="48D6BD20">
            <w:pPr>
              <w:keepNext w:val="0"/>
              <w:keepLines w:val="0"/>
              <w:pageBreakBefore w:val="0"/>
              <w:widowControl w:val="0"/>
              <w:kinsoku/>
              <w:wordWrap/>
              <w:overflowPunct/>
              <w:topLinePunct w:val="0"/>
              <w:autoSpaceDE/>
              <w:autoSpaceDN/>
              <w:bidi w:val="0"/>
              <w:adjustRightInd/>
              <w:snapToGrid/>
              <w:spacing w:line="400" w:lineRule="exact"/>
              <w:ind w:firstLine="480"/>
              <w:textAlignment w:val="auto"/>
              <w:rPr>
                <w:rFonts w:cs="Times New Roman"/>
                <w:kern w:val="0"/>
                <w:sz w:val="24"/>
              </w:rPr>
            </w:pPr>
            <w:r>
              <w:rPr>
                <w:rFonts w:eastAsia="楷体_GB2312" w:cs="Times New Roman"/>
                <w:kern w:val="0"/>
                <w:sz w:val="24"/>
              </w:rPr>
              <w:t>重温经典工程</w:t>
            </w:r>
            <w:r>
              <w:rPr>
                <w:rFonts w:cs="Times New Roman"/>
                <w:kern w:val="0"/>
                <w:sz w:val="24"/>
              </w:rPr>
              <w:t>。复排经典海门山歌小戏《心愿》《两媳妇》《孟姜女过关》等。</w:t>
            </w:r>
          </w:p>
          <w:p w14:paraId="71225CFF">
            <w:pPr>
              <w:keepNext w:val="0"/>
              <w:keepLines w:val="0"/>
              <w:pageBreakBefore w:val="0"/>
              <w:widowControl w:val="0"/>
              <w:kinsoku/>
              <w:wordWrap/>
              <w:overflowPunct/>
              <w:topLinePunct w:val="0"/>
              <w:autoSpaceDE/>
              <w:autoSpaceDN/>
              <w:bidi w:val="0"/>
              <w:adjustRightInd/>
              <w:snapToGrid/>
              <w:spacing w:line="400" w:lineRule="exact"/>
              <w:ind w:firstLine="480"/>
              <w:textAlignment w:val="auto"/>
              <w:rPr>
                <w:rFonts w:cs="Times New Roman"/>
                <w:kern w:val="0"/>
                <w:sz w:val="24"/>
              </w:rPr>
            </w:pPr>
            <w:r>
              <w:rPr>
                <w:rFonts w:eastAsia="楷体_GB2312" w:cs="Times New Roman"/>
                <w:kern w:val="0"/>
                <w:sz w:val="24"/>
              </w:rPr>
              <w:t>精品书画工程</w:t>
            </w:r>
            <w:r>
              <w:rPr>
                <w:rFonts w:cs="Times New Roman"/>
                <w:kern w:val="0"/>
                <w:sz w:val="24"/>
              </w:rPr>
              <w:t>。放大“江海之门·魅力海门”美术展览品牌，常态化举办“生态家园”田园山水画展览等展览展示活动，力争每年省级及以上获奖、入展书画作品超30件。</w:t>
            </w:r>
          </w:p>
          <w:p w14:paraId="4E56A3D0">
            <w:pPr>
              <w:keepNext w:val="0"/>
              <w:keepLines w:val="0"/>
              <w:pageBreakBefore w:val="0"/>
              <w:widowControl w:val="0"/>
              <w:kinsoku/>
              <w:wordWrap/>
              <w:overflowPunct/>
              <w:topLinePunct w:val="0"/>
              <w:autoSpaceDE/>
              <w:autoSpaceDN/>
              <w:bidi w:val="0"/>
              <w:adjustRightInd/>
              <w:snapToGrid/>
              <w:spacing w:line="400" w:lineRule="exact"/>
              <w:ind w:firstLine="480"/>
              <w:textAlignment w:val="auto"/>
              <w:rPr>
                <w:rFonts w:cs="Times New Roman"/>
                <w:szCs w:val="32"/>
              </w:rPr>
            </w:pPr>
            <w:r>
              <w:rPr>
                <w:rFonts w:eastAsia="楷体_GB2312" w:cs="Times New Roman"/>
                <w:kern w:val="0"/>
                <w:sz w:val="24"/>
              </w:rPr>
              <w:t>精品文学工程</w:t>
            </w:r>
            <w:r>
              <w:rPr>
                <w:rFonts w:cs="Times New Roman"/>
                <w:kern w:val="0"/>
                <w:sz w:val="24"/>
              </w:rPr>
              <w:t>。积极推进《海门名人传》《江渔》《沙土无声》《古朴田园风》等重点文学作品创作。</w:t>
            </w:r>
          </w:p>
        </w:tc>
      </w:tr>
    </w:tbl>
    <w:p w14:paraId="190F8344">
      <w:pPr>
        <w:pStyle w:val="3"/>
        <w:rPr>
          <w:rFonts w:ascii="Times New Roman" w:hAnsi="Times New Roman" w:cs="Times New Roman"/>
        </w:rPr>
      </w:pPr>
      <w:bookmarkStart w:id="711" w:name="_Toc3304"/>
      <w:bookmarkStart w:id="712" w:name="_Toc13738"/>
      <w:bookmarkStart w:id="713" w:name="_Toc16660"/>
      <w:bookmarkStart w:id="714" w:name="_Toc24517"/>
      <w:bookmarkStart w:id="715" w:name="_Toc26978"/>
      <w:bookmarkStart w:id="716" w:name="_Toc5695"/>
      <w:bookmarkStart w:id="717" w:name="_Toc24832"/>
      <w:bookmarkStart w:id="718" w:name="_Toc2180"/>
      <w:bookmarkStart w:id="719" w:name="_Toc21509"/>
      <w:r>
        <w:rPr>
          <w:rFonts w:ascii="Times New Roman" w:hAnsi="Times New Roman" w:cs="Times New Roman"/>
        </w:rPr>
        <w:t>第三节  推动公共文化体育服务均衡可及</w:t>
      </w:r>
      <w:bookmarkEnd w:id="711"/>
      <w:bookmarkEnd w:id="712"/>
      <w:bookmarkEnd w:id="713"/>
      <w:bookmarkEnd w:id="714"/>
      <w:bookmarkEnd w:id="715"/>
      <w:bookmarkEnd w:id="716"/>
      <w:bookmarkEnd w:id="717"/>
      <w:bookmarkEnd w:id="718"/>
      <w:bookmarkEnd w:id="719"/>
    </w:p>
    <w:p w14:paraId="032B7497">
      <w:pPr>
        <w:bidi w:val="0"/>
      </w:pPr>
      <w:r>
        <w:rPr>
          <w:rFonts w:eastAsia="楷体_GB2312" w:cs="Times New Roman"/>
        </w:rPr>
        <w:t>推动优质文化资源直达基层。</w:t>
      </w:r>
      <w:r>
        <w:t>推进城乡公共文化设施均衡布局，推动文化馆、美术馆等创意性改造，建好用好基层文化礼堂、百姓舞台，巩固提升基层综合文化服务中心建成率全省第一质效，加强新型公共文化空间培育建设与运营管理，每年打造省市级新型公共文化空间不少于2家。支持张謇纪念馆创建国家二级博物馆，叠石桥家纺博物馆创建国家三级博物馆。实施文化惠民工程，擦亮“江风海韵·精彩海门”“张謇故里·诗画海门”“江海之门·魅力海门”三大文化活动品牌，持续开展“家门口”看大展、赏好戏、享非遗、学才艺等文化惠民服务，持续打造“江海之春”“四季村晚”“艺润东洲”小剧场月月演等</w:t>
      </w:r>
      <w:r>
        <w:rPr>
          <w:rFonts w:hint="eastAsia"/>
        </w:rPr>
        <w:t>优质</w:t>
      </w:r>
      <w:r>
        <w:t>项目，每年举办文化惠民活动不少于200场。深化“书香海门”建设，扩大“弘謇”阅读品牌矩阵，推广“农家书屋+”和“+农家书屋”双“+”服务，探索农家书屋“一屋多点”模式。</w:t>
      </w:r>
    </w:p>
    <w:p w14:paraId="352470C4">
      <w:pPr>
        <w:tabs>
          <w:tab w:val="left" w:pos="5440"/>
        </w:tabs>
        <w:rPr>
          <w:rFonts w:cs="Times New Roman"/>
          <w:szCs w:val="32"/>
        </w:rPr>
      </w:pPr>
      <w:r>
        <w:rPr>
          <w:rFonts w:eastAsia="楷体_GB2312" w:cs="Times New Roman"/>
        </w:rPr>
        <w:t>创新公共文化服务供给模式。</w:t>
      </w:r>
      <w:r>
        <w:rPr>
          <w:rFonts w:cs="Times New Roman"/>
          <w:snapToGrid w:val="0"/>
          <w:spacing w:val="6"/>
          <w:kern w:val="0"/>
          <w:szCs w:val="20"/>
        </w:rPr>
        <w:t>健全群众文化服务需求征集和反馈机制，完善订单式、点单式服务供给模式，推动公共文化服务供给更好满足群众需求。</w:t>
      </w:r>
      <w:r>
        <w:rPr>
          <w:rFonts w:cs="Times New Roman"/>
          <w:kern w:val="0"/>
          <w:szCs w:val="32"/>
          <w:lang w:bidi="ar"/>
        </w:rPr>
        <w:t>推动文化空间延时错时开放，鼓励开发文创产品、开设“沿着运河读海门”“红色文物会说话”等特色研学课程。</w:t>
      </w:r>
      <w:r>
        <w:rPr>
          <w:rFonts w:cs="Times New Roman"/>
          <w:szCs w:val="32"/>
        </w:rPr>
        <w:t>推动公共文化场馆功能转型与业态融合，引入“场馆+市集”“场馆+沙龙”等多元运营模式，</w:t>
      </w:r>
      <w:r>
        <w:rPr>
          <w:rFonts w:cs="Times New Roman"/>
          <w:kern w:val="0"/>
          <w:szCs w:val="32"/>
          <w:lang w:bidi="ar"/>
        </w:rPr>
        <w:t>推动公共文化设施嵌入旅游景区景点，</w:t>
      </w:r>
      <w:r>
        <w:rPr>
          <w:rFonts w:cs="Times New Roman"/>
          <w:szCs w:val="32"/>
        </w:rPr>
        <w:t>打造复合型文化体验空间</w:t>
      </w:r>
      <w:r>
        <w:rPr>
          <w:rFonts w:cs="Times New Roman"/>
          <w:kern w:val="0"/>
          <w:szCs w:val="32"/>
          <w:lang w:bidi="ar"/>
        </w:rPr>
        <w:t>。</w:t>
      </w:r>
      <w:r>
        <w:rPr>
          <w:rFonts w:cs="Times New Roman"/>
          <w:szCs w:val="32"/>
        </w:rPr>
        <w:t>支持</w:t>
      </w:r>
      <w:r>
        <w:rPr>
          <w:rFonts w:cs="Times New Roman"/>
        </w:rPr>
        <w:t>博物馆联动巡展，</w:t>
      </w:r>
      <w:r>
        <w:rPr>
          <w:rFonts w:cs="Times New Roman"/>
          <w:szCs w:val="32"/>
        </w:rPr>
        <w:t>推出展现江海文化、张謇文化的精品展览和社会教育项目，打</w:t>
      </w:r>
      <w:r>
        <w:rPr>
          <w:rFonts w:hint="eastAsia" w:ascii="仿宋_GB2312" w:hAnsi="仿宋_GB2312" w:eastAsia="仿宋_GB2312" w:cs="仿宋_GB2312"/>
          <w:szCs w:val="32"/>
        </w:rPr>
        <w:t>造“博物馆夜游”品</w:t>
      </w:r>
      <w:r>
        <w:rPr>
          <w:rFonts w:cs="Times New Roman"/>
          <w:szCs w:val="32"/>
        </w:rPr>
        <w:t>牌。深化公共文化设施所有权和使用权分置改革，健全社会力量参与公共文化服务机制。构建数字文化服务渠道，运用新媒体、VR/AR等数字技术，推动博物馆、图书馆、文化艺术中心、田园山水画史馆等空间资源挖掘与效能转化。</w:t>
      </w:r>
    </w:p>
    <w:p w14:paraId="5206D39D">
      <w:pPr>
        <w:rPr>
          <w:rFonts w:eastAsia="方正仿宋_GBK" w:cs="Times New Roman"/>
        </w:rPr>
      </w:pPr>
      <w:r>
        <w:rPr>
          <w:rFonts w:eastAsia="楷体_GB2312" w:cs="Times New Roman"/>
          <w:szCs w:val="32"/>
        </w:rPr>
        <w:t>完善公共体育服务体系。</w:t>
      </w:r>
      <w:r>
        <w:rPr>
          <w:rFonts w:hint="eastAsia" w:ascii="仿宋_GB2312" w:hAnsi="仿宋_GB2312" w:eastAsia="仿宋_GB2312" w:cs="仿宋_GB2312"/>
          <w:szCs w:val="32"/>
        </w:rPr>
        <w:t>针对性</w:t>
      </w:r>
      <w:r>
        <w:rPr>
          <w:rFonts w:cs="Times New Roman"/>
          <w:szCs w:val="32"/>
        </w:rPr>
        <w:t>补齐全民健身设施短板，推进群众身边的运动场地设施建设，实施农村体育设施改造工程，重点建设多功能运动场和灯光球场。</w:t>
      </w:r>
      <w:r>
        <w:rPr>
          <w:rFonts w:cs="Times New Roman"/>
        </w:rPr>
        <w:t>推动中老年、青少年和儿童专属活动区域覆盖所有社区，设立中老年健身专区、儿童趣味运动乐园。实施城市慢行系统提质工程，优化滨江滨海滨河等慢行绿道和社区慢行环线。举办“村界杯”“村BA”“村跑”等群众性赛事活动，开展青少年体育夏令营和老年健身培训，年均服务1万人次。深化足球名城建设，持续放大“全国青少年校园足球优秀试点县（区）”效应，打造全国青训体系、校园足球、“体教融合+职业俱乐部”等样板。</w:t>
      </w:r>
    </w:p>
    <w:p w14:paraId="6AF118A8">
      <w:pPr>
        <w:pStyle w:val="3"/>
        <w:rPr>
          <w:rFonts w:ascii="Times New Roman" w:hAnsi="Times New Roman" w:cs="Times New Roman"/>
        </w:rPr>
      </w:pPr>
      <w:bookmarkStart w:id="720" w:name="_Toc20401"/>
      <w:bookmarkStart w:id="721" w:name="_Toc7249"/>
      <w:bookmarkStart w:id="722" w:name="_Toc28132"/>
      <w:bookmarkStart w:id="723" w:name="_Toc13651"/>
      <w:bookmarkStart w:id="724" w:name="_Toc15006"/>
      <w:bookmarkStart w:id="725" w:name="_Toc5498"/>
      <w:bookmarkStart w:id="726" w:name="_Toc3831"/>
      <w:bookmarkStart w:id="727" w:name="_Toc15834"/>
      <w:bookmarkStart w:id="728" w:name="_Toc11369"/>
      <w:r>
        <w:rPr>
          <w:rFonts w:ascii="Times New Roman" w:hAnsi="Times New Roman" w:cs="Times New Roman"/>
        </w:rPr>
        <w:t>第四节  繁荣发展文体旅产业</w:t>
      </w:r>
      <w:bookmarkEnd w:id="720"/>
      <w:bookmarkEnd w:id="721"/>
      <w:bookmarkEnd w:id="722"/>
      <w:bookmarkEnd w:id="723"/>
      <w:bookmarkEnd w:id="724"/>
      <w:bookmarkEnd w:id="725"/>
      <w:bookmarkEnd w:id="726"/>
      <w:bookmarkEnd w:id="727"/>
      <w:bookmarkEnd w:id="728"/>
    </w:p>
    <w:p w14:paraId="3E4BD114">
      <w:pPr>
        <w:bidi w:val="0"/>
      </w:pPr>
      <w:r>
        <w:rPr>
          <w:rFonts w:eastAsia="楷体_GB2312" w:cs="Times New Roman"/>
          <w:szCs w:val="32"/>
        </w:rPr>
        <w:t>前瞻布局数字文化产业新赛道。</w:t>
      </w:r>
      <w:r>
        <w:t>重点布局电竞、动漫、游戏、影视四大数字文化产业，构建赛事体系完善、产业孵化高效、数字文旅深度融合的产业生态圈。提升数字文化产业载体能级，规划建设数字文化产业园，推动海门电竞中心硬件设施升级和功能完善，加快东布洲动画创投和动画创作产业基地、东布洲微短剧影视基地、謇公湖影视基地等载体建设。“十五五”期间，力争培育规上数字文化市场主体10家以上。</w:t>
      </w:r>
    </w:p>
    <w:tbl>
      <w:tblPr>
        <w:tblStyle w:val="2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60"/>
      </w:tblGrid>
      <w:tr w14:paraId="164627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60" w:type="dxa"/>
          </w:tcPr>
          <w:p w14:paraId="7DA0C367">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eastAsia="黑体" w:cs="Times New Roman"/>
                <w:sz w:val="24"/>
                <w:szCs w:val="21"/>
              </w:rPr>
            </w:pPr>
            <w:r>
              <w:rPr>
                <w:rFonts w:eastAsia="黑体" w:cs="Times New Roman"/>
                <w:sz w:val="24"/>
                <w:szCs w:val="21"/>
              </w:rPr>
              <w:t>专栏20  四大数字文化产业发展重点</w:t>
            </w:r>
          </w:p>
          <w:p w14:paraId="1B755024">
            <w:pPr>
              <w:keepNext w:val="0"/>
              <w:keepLines w:val="0"/>
              <w:pageBreakBefore w:val="0"/>
              <w:widowControl w:val="0"/>
              <w:kinsoku/>
              <w:wordWrap/>
              <w:overflowPunct/>
              <w:topLinePunct w:val="0"/>
              <w:autoSpaceDE/>
              <w:autoSpaceDN/>
              <w:bidi w:val="0"/>
              <w:adjustRightInd/>
              <w:snapToGrid/>
              <w:spacing w:line="400" w:lineRule="exact"/>
              <w:ind w:firstLine="480"/>
              <w:textAlignment w:val="auto"/>
              <w:rPr>
                <w:rFonts w:eastAsia="楷体_GB2312" w:cs="Times New Roman"/>
                <w:sz w:val="24"/>
                <w:szCs w:val="21"/>
              </w:rPr>
            </w:pPr>
            <w:r>
              <w:rPr>
                <w:rFonts w:eastAsia="楷体_GB2312" w:cs="Times New Roman"/>
                <w:sz w:val="24"/>
                <w:szCs w:val="21"/>
              </w:rPr>
              <w:t>全力推进电竞产业特色发展</w:t>
            </w:r>
            <w:r>
              <w:rPr>
                <w:rFonts w:cs="Times New Roman"/>
                <w:sz w:val="24"/>
                <w:szCs w:val="21"/>
              </w:rPr>
              <w:t>。围绕赛事策划、赛事运营、赛事衍生品等关键环节强链补链，推动“电竞+”多元融合，发展电竞文创、会展、旅游等融合场景，支持盘活存量用地打造电竞主题街区、研学基地和特色文旅项目，打造长三角有影响力的电竞特色集聚区。</w:t>
            </w:r>
          </w:p>
          <w:p w14:paraId="7E902328">
            <w:pPr>
              <w:keepNext w:val="0"/>
              <w:keepLines w:val="0"/>
              <w:pageBreakBefore w:val="0"/>
              <w:widowControl w:val="0"/>
              <w:kinsoku/>
              <w:wordWrap/>
              <w:overflowPunct/>
              <w:topLinePunct w:val="0"/>
              <w:autoSpaceDE/>
              <w:autoSpaceDN/>
              <w:bidi w:val="0"/>
              <w:adjustRightInd/>
              <w:snapToGrid/>
              <w:spacing w:line="400" w:lineRule="exact"/>
              <w:ind w:firstLine="480"/>
              <w:textAlignment w:val="auto"/>
              <w:rPr>
                <w:rFonts w:eastAsia="方正仿宋_GBK" w:cs="Times New Roman"/>
                <w:sz w:val="24"/>
                <w:szCs w:val="21"/>
              </w:rPr>
            </w:pPr>
            <w:r>
              <w:rPr>
                <w:rFonts w:eastAsia="楷体_GB2312" w:cs="Times New Roman"/>
                <w:sz w:val="24"/>
                <w:szCs w:val="21"/>
              </w:rPr>
              <w:t>加快动漫产业全产业链能级跃升。</w:t>
            </w:r>
            <w:r>
              <w:rPr>
                <w:rFonts w:cs="Times New Roman"/>
                <w:sz w:val="24"/>
                <w:szCs w:val="21"/>
              </w:rPr>
              <w:t>深挖江海文化底蕴，打造优质原创IP，构建并完善集创作孵化、制作发行、版权交易、节展运营于一体的全产业链生态体系，持续提升东布洲国际动画周、东布洲国际艺术节的品牌辐射力与行业影响力。</w:t>
            </w:r>
          </w:p>
          <w:p w14:paraId="7AA1AA91">
            <w:pPr>
              <w:keepNext w:val="0"/>
              <w:keepLines w:val="0"/>
              <w:pageBreakBefore w:val="0"/>
              <w:widowControl w:val="0"/>
              <w:kinsoku/>
              <w:wordWrap/>
              <w:overflowPunct/>
              <w:topLinePunct w:val="0"/>
              <w:autoSpaceDE/>
              <w:autoSpaceDN/>
              <w:bidi w:val="0"/>
              <w:adjustRightInd/>
              <w:snapToGrid/>
              <w:spacing w:line="400" w:lineRule="exact"/>
              <w:ind w:firstLine="480"/>
              <w:textAlignment w:val="auto"/>
              <w:rPr>
                <w:rFonts w:cs="Times New Roman"/>
                <w:sz w:val="24"/>
                <w:szCs w:val="21"/>
              </w:rPr>
            </w:pPr>
            <w:r>
              <w:rPr>
                <w:rFonts w:eastAsia="楷体_GB2312" w:cs="Times New Roman"/>
                <w:sz w:val="24"/>
                <w:szCs w:val="21"/>
              </w:rPr>
              <w:t>推动影视产业乘势突破。</w:t>
            </w:r>
            <w:r>
              <w:rPr>
                <w:rFonts w:cs="Times New Roman"/>
                <w:sz w:val="24"/>
                <w:szCs w:val="21"/>
              </w:rPr>
              <w:t>依托本土文化资源和拍摄场景优势，推动实施“江海千剧”计划，推出一批融入张謇文化、非遗元素、足球运动等海门特色的精品短剧。深化与平台、品牌合作，推动“微短剧+文旅”场景融合与商业模式创新。</w:t>
            </w:r>
          </w:p>
          <w:p w14:paraId="27197264">
            <w:pPr>
              <w:keepNext w:val="0"/>
              <w:keepLines w:val="0"/>
              <w:pageBreakBefore w:val="0"/>
              <w:widowControl w:val="0"/>
              <w:kinsoku/>
              <w:wordWrap/>
              <w:overflowPunct/>
              <w:topLinePunct w:val="0"/>
              <w:autoSpaceDE/>
              <w:autoSpaceDN/>
              <w:bidi w:val="0"/>
              <w:adjustRightInd/>
              <w:snapToGrid/>
              <w:spacing w:line="400" w:lineRule="exact"/>
              <w:ind w:firstLine="480"/>
              <w:textAlignment w:val="auto"/>
              <w:rPr>
                <w:rFonts w:cs="Times New Roman"/>
              </w:rPr>
            </w:pPr>
            <w:r>
              <w:rPr>
                <w:rFonts w:eastAsia="楷体_GB2312" w:cs="Times New Roman"/>
                <w:sz w:val="24"/>
                <w:szCs w:val="21"/>
              </w:rPr>
              <w:t>稳步培育游戏产业新动能。</w:t>
            </w:r>
            <w:r>
              <w:rPr>
                <w:rFonts w:cs="Times New Roman"/>
                <w:sz w:val="24"/>
                <w:szCs w:val="21"/>
              </w:rPr>
              <w:t>引进游戏专业团队和初创企业，推动开发融合海门文化元素的轻型游戏产品，加强与动漫、电竞板块的IP联动与资源协同。</w:t>
            </w:r>
          </w:p>
        </w:tc>
      </w:tr>
    </w:tbl>
    <w:p w14:paraId="1C69ADB7">
      <w:pPr>
        <w:rPr>
          <w:rFonts w:cs="Times New Roman"/>
        </w:rPr>
      </w:pPr>
    </w:p>
    <w:p w14:paraId="1D3A0180">
      <w:pPr>
        <w:rPr>
          <w:rFonts w:cs="Times New Roman"/>
          <w:szCs w:val="32"/>
        </w:rPr>
      </w:pPr>
      <w:r>
        <w:rPr>
          <w:rFonts w:eastAsia="楷体_GB2312" w:cs="Times New Roman"/>
          <w:szCs w:val="32"/>
        </w:rPr>
        <w:t>激发全域旅游提质发展新动力</w:t>
      </w:r>
      <w:r>
        <w:rPr>
          <w:rFonts w:cs="Times New Roman"/>
        </w:rPr>
        <w:t>。充分彰显“张謇故里、江海之门、生态田园”三大特色，放大“省级全域旅游示范区”辐射带动效应，</w:t>
      </w:r>
      <w:r>
        <w:rPr>
          <w:rFonts w:cs="Times New Roman"/>
          <w:szCs w:val="32"/>
          <w:shd w:val="clear" w:color="auto" w:fill="FFFFFF"/>
        </w:rPr>
        <w:t>建设謇公湖、之琳湖、玲珑湖“三湖竞秀”核心文旅片区，</w:t>
      </w:r>
      <w:r>
        <w:rPr>
          <w:rFonts w:cs="Times New Roman"/>
          <w:szCs w:val="32"/>
        </w:rPr>
        <w:t>打造临沪城市假日近郊旅游首选地。开发乡村游、工业游、研学游、观光游、古镇游、红色游等旅游产品，推出状元故里祈福游、江风海韵踏青游、品鲜乐购康养游、追江赶海活力游等更多展现海门特色的精品线路。有序推进旅游景区“强基焕新”和旅游度假区品牌提升，培育</w:t>
      </w:r>
      <w:r>
        <w:rPr>
          <w:rFonts w:cs="Times New Roman"/>
        </w:rPr>
        <w:t>省级以上</w:t>
      </w:r>
      <w:r>
        <w:rPr>
          <w:rFonts w:cs="Times New Roman"/>
          <w:szCs w:val="32"/>
        </w:rPr>
        <w:t>工业旅游区。</w:t>
      </w:r>
      <w:r>
        <w:rPr>
          <w:rFonts w:cs="Times New Roman"/>
        </w:rPr>
        <w:t>推动謇公湖</w:t>
      </w:r>
      <w:r>
        <w:rPr>
          <w:rFonts w:cs="Times New Roman"/>
          <w:szCs w:val="32"/>
        </w:rPr>
        <w:t>明月湾（陆地游轮酒店）</w:t>
      </w:r>
      <w:r>
        <w:rPr>
          <w:rFonts w:cs="Times New Roman"/>
        </w:rPr>
        <w:t>、洲际花博园等项目落地运营，支持叠石桥国际纺织时尚广场打造家纺产业公园。</w:t>
      </w:r>
      <w:r>
        <w:rPr>
          <w:rFonts w:cs="Times New Roman"/>
          <w:szCs w:val="32"/>
        </w:rPr>
        <w:t>到2030年，力争新增国家4A级景区1家、3A级景区3家、省级以上工业旅游区2家，力争游客总人次超1400万、旅游业总收入超130亿元。</w:t>
      </w:r>
    </w:p>
    <w:p w14:paraId="555851EE">
      <w:pPr>
        <w:widowControl/>
        <w:rPr>
          <w:rFonts w:cs="Times New Roman"/>
        </w:rPr>
      </w:pPr>
      <w:r>
        <w:rPr>
          <w:rFonts w:eastAsia="楷体_GB2312" w:cs="Times New Roman"/>
          <w:szCs w:val="32"/>
        </w:rPr>
        <w:t>打造赛事经济新名片。</w:t>
      </w:r>
      <w:r>
        <w:rPr>
          <w:rFonts w:cs="Times New Roman"/>
        </w:rPr>
        <w:t>以电竞、足球赛事为核心引擎，做强海门精品赛事IP，构建品牌汇集、业态融合、全域联动的体育消费格局。巩固电竞赛事主场优势，保障KPL等顶级电竞赛事常态化举办，引进国家级、国际级重大赛事，引进或自主培育次级、青训赛事，年均承办主场电竞赛事150场以上。打造足球名城，办好中乙联赛、中国足协杯赛、“珂缔缘杯”校园足球国际邀请赛等系列赛事，年均举办足球赛事15场以上，建设以謇公湖板块为核心的足球赛事集聚区。拓展特色赛事体系，依托亚洲潜水训练基地、江苏省蹼泳队训练基地，积极承接水上项目系列比赛，拓展东布洲动画创作大赛等特色赛事。“十五五”期间，引进2项国家级品牌赛事，培育3项省级精品赛事。</w:t>
      </w:r>
    </w:p>
    <w:p w14:paraId="384C0DC6">
      <w:pPr>
        <w:bidi w:val="0"/>
        <w:rPr>
          <w:rFonts w:cs="Times New Roman"/>
        </w:rPr>
        <w:sectPr>
          <w:pgSz w:w="11906" w:h="16838"/>
          <w:pgMar w:top="1814" w:right="1531" w:bottom="1984" w:left="1531" w:header="510" w:footer="1474" w:gutter="0"/>
          <w:cols w:space="0" w:num="1"/>
          <w:docGrid w:type="lines" w:linePitch="312" w:charSpace="0"/>
        </w:sectPr>
      </w:pPr>
      <w:r>
        <w:rPr>
          <w:rFonts w:eastAsia="楷体_GB2312" w:cs="Times New Roman"/>
          <w:szCs w:val="32"/>
        </w:rPr>
        <w:t>丰富文体旅融合产品供给。</w:t>
      </w:r>
      <w:r>
        <w:t>推动数字文化、全域旅游、赛事经济协同发力，拓展“文旅+百业”“百业+文旅”业态，开发“一站式”商旅文体联动消费新载体。构建“赛事+”融合场景，系统推出“跟着赛事游海门”主题活动，开发“观赛+体验+观光+美食”一体化旅游线路，打造“电竞+非遗”主题嘉年华、“电竞+音乐会”等品牌活动。建设运动消费街区等赛事活力街区，</w:t>
      </w:r>
      <w:r>
        <w:rPr>
          <w:rFonts w:hint="eastAsia"/>
        </w:rPr>
        <w:t>延伸打造互动娱乐、街区夜市、</w:t>
      </w:r>
      <w:r>
        <w:t>农产品推介、非遗市集等赛事“第二现场”，构建“赛事引流</w:t>
      </w:r>
      <w:r>
        <w:rPr>
          <w:rFonts w:hint="eastAsia"/>
          <w:lang w:eastAsia="zh-CN"/>
        </w:rPr>
        <w:t>—</w:t>
      </w:r>
      <w:r>
        <w:t>文旅留客</w:t>
      </w:r>
      <w:r>
        <w:rPr>
          <w:rFonts w:hint="eastAsia"/>
          <w:lang w:eastAsia="zh-CN"/>
        </w:rPr>
        <w:t>—</w:t>
      </w:r>
      <w:r>
        <w:t>消费兑现”文旅体商融合消费链。对标省级文化和旅游产业融合发展建设标准，推动文旅资源更加集聚、市场主体更加活跃、品牌知名度更加突出、配套体系更加完善。</w:t>
      </w:r>
    </w:p>
    <w:p w14:paraId="58B93780">
      <w:pPr>
        <w:pStyle w:val="2"/>
        <w:rPr>
          <w:rFonts w:ascii="Times New Roman" w:hAnsi="Times New Roman" w:cs="Times New Roman"/>
        </w:rPr>
      </w:pPr>
      <w:bookmarkStart w:id="729" w:name="_Toc20221"/>
      <w:bookmarkStart w:id="730" w:name="_Toc19809"/>
      <w:bookmarkStart w:id="731" w:name="_Toc12141"/>
      <w:bookmarkStart w:id="732" w:name="_Toc9768"/>
      <w:bookmarkStart w:id="733" w:name="_Toc12360"/>
      <w:bookmarkStart w:id="734" w:name="_Toc25626"/>
      <w:bookmarkStart w:id="735" w:name="_Toc18035"/>
      <w:bookmarkStart w:id="736" w:name="_Toc7010"/>
      <w:bookmarkStart w:id="737" w:name="_Toc24283"/>
      <w:bookmarkStart w:id="738" w:name="_Toc21266"/>
      <w:bookmarkStart w:id="739" w:name="_Toc10501"/>
      <w:bookmarkStart w:id="740" w:name="_Toc22198"/>
      <w:bookmarkStart w:id="741" w:name="_Toc21883"/>
      <w:bookmarkStart w:id="742" w:name="_Toc29148"/>
      <w:r>
        <w:rPr>
          <w:rFonts w:ascii="Times New Roman" w:hAnsi="Times New Roman" w:cs="Times New Roman"/>
        </w:rPr>
        <w:t>第十二章  持续增进民生福祉  创造人民满意的高品质生活</w:t>
      </w:r>
      <w:bookmarkEnd w:id="729"/>
      <w:bookmarkEnd w:id="730"/>
      <w:bookmarkEnd w:id="731"/>
      <w:bookmarkEnd w:id="732"/>
      <w:bookmarkEnd w:id="733"/>
      <w:bookmarkEnd w:id="734"/>
      <w:bookmarkEnd w:id="735"/>
      <w:bookmarkEnd w:id="736"/>
      <w:bookmarkEnd w:id="737"/>
      <w:bookmarkEnd w:id="738"/>
      <w:bookmarkEnd w:id="739"/>
      <w:bookmarkEnd w:id="740"/>
      <w:bookmarkEnd w:id="741"/>
      <w:bookmarkEnd w:id="742"/>
    </w:p>
    <w:p w14:paraId="549309C8">
      <w:pPr>
        <w:rPr>
          <w:rFonts w:cs="Times New Roman"/>
        </w:rPr>
      </w:pPr>
      <w:bookmarkStart w:id="743" w:name="_Toc11704"/>
      <w:r>
        <w:rPr>
          <w:rFonts w:cs="Times New Roman"/>
          <w:szCs w:val="22"/>
          <w:lang w:bidi="bo-CN"/>
        </w:rPr>
        <w:t>坚持在发展中保障和改善民生，坚持尽力而为、量力而行，聚焦群众急难愁盼，加强普惠性、基础性、兜底性民生建设，推动民生建设更加公平、均衡、普惠、可及，着力构建与高质量发展相适配的高品质民生，让群众共享发展成果。</w:t>
      </w:r>
    </w:p>
    <w:p w14:paraId="27EB2728">
      <w:pPr>
        <w:pStyle w:val="3"/>
        <w:rPr>
          <w:rFonts w:ascii="Times New Roman" w:hAnsi="Times New Roman" w:cs="Times New Roman"/>
        </w:rPr>
      </w:pPr>
      <w:bookmarkStart w:id="744" w:name="_Toc7145"/>
      <w:bookmarkStart w:id="745" w:name="_Toc14279"/>
      <w:bookmarkStart w:id="746" w:name="_Toc2478"/>
      <w:bookmarkStart w:id="747" w:name="_Toc4248"/>
      <w:bookmarkStart w:id="748" w:name="_Toc29726"/>
      <w:bookmarkStart w:id="749" w:name="_Toc3217"/>
      <w:bookmarkStart w:id="750" w:name="_Toc29433"/>
      <w:bookmarkStart w:id="751" w:name="_Toc10930"/>
      <w:bookmarkStart w:id="752" w:name="_Toc14853"/>
      <w:bookmarkStart w:id="753" w:name="_Toc17779"/>
      <w:bookmarkStart w:id="754" w:name="_Toc3855"/>
      <w:bookmarkStart w:id="755" w:name="_Toc5558"/>
      <w:bookmarkStart w:id="756" w:name="_Toc23298"/>
      <w:r>
        <w:rPr>
          <w:rFonts w:ascii="Times New Roman" w:hAnsi="Times New Roman" w:cs="Times New Roman"/>
        </w:rPr>
        <w:t>第一节  促进高质量充分就业</w:t>
      </w:r>
      <w:bookmarkEnd w:id="743"/>
      <w:bookmarkEnd w:id="744"/>
      <w:bookmarkEnd w:id="745"/>
      <w:bookmarkEnd w:id="746"/>
      <w:bookmarkEnd w:id="747"/>
      <w:bookmarkEnd w:id="748"/>
      <w:bookmarkEnd w:id="749"/>
      <w:bookmarkEnd w:id="750"/>
      <w:bookmarkEnd w:id="751"/>
      <w:bookmarkEnd w:id="752"/>
      <w:bookmarkEnd w:id="753"/>
      <w:bookmarkEnd w:id="754"/>
      <w:bookmarkEnd w:id="755"/>
      <w:bookmarkEnd w:id="756"/>
    </w:p>
    <w:p w14:paraId="0349F9C9">
      <w:pPr>
        <w:rPr>
          <w:rFonts w:cs="Times New Roman"/>
        </w:rPr>
      </w:pPr>
      <w:r>
        <w:rPr>
          <w:rFonts w:eastAsia="楷体_GB2312" w:cs="Times New Roman"/>
        </w:rPr>
        <w:t>推动就业扩容提质</w:t>
      </w:r>
      <w:r>
        <w:rPr>
          <w:rFonts w:cs="Times New Roman"/>
        </w:rPr>
        <w:t>。着力稳定就业总量、优化就业结构、提升就业质量，完善援企稳岗常态化机制，用好各级稳岗返还、税收优惠、金融支持、就业补贴等政策。引进一批吸纳就业能力强的产业项目，推动文旅、家政、养老等服务业开发新岗位。围绕新质生产力发展方向，实施高质量就业岗位倍增行动。支持和规范灵活就业、新就业形态发展。完善创业扶持体系，落实富民创业担保贷款，加大初创实体支持力度，鼓励高层次创新创业人才、高校毕业生、留学回国人员等来海门创业。</w:t>
      </w:r>
    </w:p>
    <w:p w14:paraId="480035BD">
      <w:pPr>
        <w:rPr>
          <w:rFonts w:cs="Times New Roman"/>
        </w:rPr>
      </w:pPr>
      <w:r>
        <w:rPr>
          <w:rFonts w:eastAsia="楷体_GB2312" w:cs="Times New Roman"/>
        </w:rPr>
        <w:t>强化重点群体就业支持</w:t>
      </w:r>
      <w:r>
        <w:rPr>
          <w:rFonts w:cs="Times New Roman"/>
        </w:rPr>
        <w:t>。实施高校毕业生就业促进和创业引领计划，扩大就业见习基地规模建设，开发更多适合高校毕业生的高质量就业岗位，离校未就业高校毕业生就业帮扶率90%以上。提升农业转移人口就业能力，支持进城务工农民多渠道就业和返乡创业。</w:t>
      </w:r>
      <w:r>
        <w:rPr>
          <w:rFonts w:hint="eastAsia" w:ascii="仿宋_GB2312" w:hAnsi="仿宋_GB2312" w:eastAsia="仿宋_GB2312" w:cs="仿宋_GB2312"/>
        </w:rPr>
        <w:t>稳定产业工人就业，促进产业工人技能更新和学历提升，深化产业工人队伍建设改革。加强退役军人就业服务</w:t>
      </w:r>
      <w:r>
        <w:rPr>
          <w:rFonts w:cs="Times New Roman"/>
        </w:rPr>
        <w:t>，增强“戎就东洲”小程序服务功能，提升“戎创贷”等产品对退役军人创业的支持力度。完善就业援助制度，建立就业困难人员信息库，实施实名制动态管理。规范公益性岗位开发和管理，鼓励区镇、村（社区）提供更多公共管理和社会服务类就业岗位，推动就业困难家庭至少一人就业，实现零就业家庭动态清零。</w:t>
      </w:r>
    </w:p>
    <w:p w14:paraId="4B1A6376">
      <w:pPr>
        <w:rPr>
          <w:rFonts w:cs="Times New Roman"/>
        </w:rPr>
      </w:pPr>
      <w:r>
        <w:rPr>
          <w:rFonts w:eastAsia="楷体_GB2312" w:cs="Times New Roman"/>
        </w:rPr>
        <w:t>提升就业公共服务水平</w:t>
      </w:r>
      <w:r>
        <w:rPr>
          <w:rFonts w:cs="Times New Roman"/>
        </w:rPr>
        <w:t>。完善覆盖城乡的公共就业服务网络，推进村（社区）“家门口”就业服务站建设，打造“固定市场+移动站点+线上平台”相结合的零工市场，推动就业创业服务下沉至区镇，完善“15分钟就业服务圈”。加快技能型社会建设，加强岗前培训和技能提升培训，开展订单式、定向式、定岗式等专项培训，探索开设新业态职业技能培训项目。挖掘特色产业领域劳务品牌潜力，组织多样化劳务品牌对接交流活动，提升劳务品牌就业带动力。构建和谐稳定劳动关系，加强用人单位规范劳动用工管理，健全治理欠薪长效机制。“十五五”期间，开展补贴性职业技能培训1.25万人。</w:t>
      </w:r>
    </w:p>
    <w:p w14:paraId="4E668181">
      <w:pPr>
        <w:pStyle w:val="3"/>
        <w:rPr>
          <w:rFonts w:ascii="Times New Roman" w:hAnsi="Times New Roman" w:cs="Times New Roman"/>
        </w:rPr>
      </w:pPr>
      <w:bookmarkStart w:id="757" w:name="_Toc22316"/>
      <w:bookmarkStart w:id="758" w:name="_Toc18389"/>
      <w:bookmarkStart w:id="759" w:name="_Toc2806"/>
      <w:bookmarkStart w:id="760" w:name="_Toc10517"/>
      <w:bookmarkStart w:id="761" w:name="_Toc23029"/>
      <w:bookmarkStart w:id="762" w:name="_Toc19644"/>
      <w:bookmarkStart w:id="763" w:name="_Toc10457"/>
      <w:bookmarkStart w:id="764" w:name="_Toc30950"/>
      <w:bookmarkStart w:id="765" w:name="_Toc6235"/>
      <w:bookmarkStart w:id="766" w:name="_Toc8948"/>
      <w:bookmarkStart w:id="767" w:name="_Toc296"/>
      <w:bookmarkStart w:id="768" w:name="_Toc17773"/>
      <w:bookmarkStart w:id="769" w:name="_Toc22007"/>
      <w:bookmarkStart w:id="770" w:name="_Toc27925"/>
      <w:r>
        <w:rPr>
          <w:rFonts w:ascii="Times New Roman" w:hAnsi="Times New Roman" w:cs="Times New Roman"/>
        </w:rPr>
        <w:t>第二节  全力推动富民增收</w:t>
      </w:r>
      <w:bookmarkEnd w:id="757"/>
      <w:bookmarkEnd w:id="758"/>
      <w:bookmarkEnd w:id="759"/>
      <w:bookmarkEnd w:id="760"/>
      <w:bookmarkEnd w:id="761"/>
      <w:bookmarkEnd w:id="762"/>
      <w:bookmarkEnd w:id="763"/>
      <w:bookmarkEnd w:id="764"/>
      <w:bookmarkEnd w:id="765"/>
      <w:bookmarkEnd w:id="766"/>
      <w:bookmarkEnd w:id="767"/>
      <w:bookmarkEnd w:id="768"/>
      <w:bookmarkEnd w:id="769"/>
      <w:bookmarkEnd w:id="770"/>
    </w:p>
    <w:p w14:paraId="4D831152">
      <w:pPr>
        <w:rPr>
          <w:rFonts w:cs="Times New Roman"/>
        </w:rPr>
      </w:pPr>
      <w:r>
        <w:rPr>
          <w:rFonts w:eastAsia="楷体_GB2312" w:cs="Times New Roman"/>
        </w:rPr>
        <w:t>着力提升居民收入水平</w:t>
      </w:r>
      <w:r>
        <w:rPr>
          <w:rFonts w:cs="Times New Roman"/>
        </w:rPr>
        <w:t>。落实南通市产业富民、创业富民、就业富民等富民行动，多渠道增加居民收入。落实最低工资标准调整政策，完善企业薪酬调查和信息发布制度。扩大工资集体协商制度覆盖面，推行行业性工资集体协商。完善机关事业单位工资和津补贴制度。支持区属国企增加就业岗位、开展就业帮扶，提升关键岗位、生产一线岗位和技能型人才薪酬水平。规范劳务派遣用工行为，保障劳动者同工同酬。完善个体工商户、小微企业支持政策，鼓励发展红木、酒业等海门特色富民产业，提高居民经营性收入。增加以知识产权、数据要素等收益为代表的新型财产性收入。广泛动员社会力量参与慈善事业，扩大慈善博爱“一日捐”品牌效应，积极发展互联网慈善。</w:t>
      </w:r>
    </w:p>
    <w:p w14:paraId="383C605D">
      <w:pPr>
        <w:widowControl/>
        <w:rPr>
          <w:rFonts w:cs="Times New Roman"/>
        </w:rPr>
      </w:pPr>
      <w:r>
        <w:rPr>
          <w:rFonts w:eastAsia="楷体_GB2312" w:cs="Times New Roman"/>
        </w:rPr>
        <w:t>拓宽农民增收致富渠道。</w:t>
      </w:r>
      <w:r>
        <w:rPr>
          <w:rFonts w:cs="Times New Roman"/>
          <w:szCs w:val="32"/>
        </w:rPr>
        <w:t>完善产权入股收益分红、产销对接农业增效、村企联建强村富民、土地流转资源增值等联农带农机制。支持农民将土地经营权等要素量化入股，</w:t>
      </w:r>
      <w:r>
        <w:rPr>
          <w:rFonts w:cs="Times New Roman"/>
        </w:rPr>
        <w:t>健全“产业联盟+龙头企业+农户”等利益联结机制，</w:t>
      </w:r>
      <w:r>
        <w:rPr>
          <w:rFonts w:cs="Times New Roman"/>
          <w:szCs w:val="32"/>
        </w:rPr>
        <w:t>推广</w:t>
      </w:r>
      <w:r>
        <w:rPr>
          <w:rFonts w:cs="Times New Roman"/>
        </w:rPr>
        <w:t>“全产业链+效益返还”“加工增值+保底分红”等产业带农模式，支持农户更好参与农业产业化收益分配。引导农民因地制宜发展适合家庭经营的产业项目，支持从事农事体验、民宿经济等乡村旅游业态，培育高素质农民成为乡村主播、乡村主理人。开展农村低收入人口和经济薄弱村富民强村帮促行动，健全农村低收入人口分层分类帮促制度，建立常态化防止返贫致贫机制。</w:t>
      </w:r>
    </w:p>
    <w:p w14:paraId="7F49A700">
      <w:pPr>
        <w:pStyle w:val="3"/>
        <w:bidi w:val="0"/>
      </w:pPr>
      <w:bookmarkStart w:id="771" w:name="_Toc23163"/>
      <w:bookmarkStart w:id="772" w:name="_Toc20599"/>
      <w:bookmarkStart w:id="773" w:name="_Toc24224"/>
      <w:bookmarkStart w:id="774" w:name="_Toc282"/>
      <w:bookmarkStart w:id="775" w:name="_Toc18539"/>
      <w:bookmarkStart w:id="776" w:name="_Toc28600"/>
      <w:bookmarkStart w:id="777" w:name="_Toc28962"/>
      <w:bookmarkStart w:id="778" w:name="_Toc21548"/>
      <w:bookmarkStart w:id="779" w:name="_Toc19077"/>
      <w:bookmarkStart w:id="780" w:name="_Toc32514"/>
      <w:bookmarkStart w:id="781" w:name="_Toc24876"/>
      <w:bookmarkStart w:id="782" w:name="_Toc1911"/>
      <w:bookmarkStart w:id="783" w:name="_Toc25048"/>
      <w:bookmarkStart w:id="784" w:name="_Toc18802"/>
      <w:r>
        <w:t>第三节  建设“全域均衡、全阶优质”现代化教育强区</w:t>
      </w:r>
      <w:bookmarkEnd w:id="771"/>
      <w:bookmarkEnd w:id="772"/>
      <w:bookmarkEnd w:id="773"/>
      <w:bookmarkEnd w:id="774"/>
      <w:bookmarkEnd w:id="775"/>
      <w:bookmarkEnd w:id="776"/>
      <w:bookmarkEnd w:id="777"/>
      <w:bookmarkEnd w:id="778"/>
      <w:bookmarkEnd w:id="779"/>
      <w:bookmarkEnd w:id="780"/>
      <w:bookmarkEnd w:id="781"/>
      <w:bookmarkEnd w:id="782"/>
      <w:bookmarkEnd w:id="783"/>
      <w:bookmarkEnd w:id="784"/>
    </w:p>
    <w:p w14:paraId="47989553">
      <w:pPr>
        <w:rPr>
          <w:rFonts w:cs="Times New Roman"/>
        </w:rPr>
      </w:pPr>
      <w:r>
        <w:rPr>
          <w:rFonts w:eastAsia="楷体_GB2312" w:cs="Times New Roman"/>
        </w:rPr>
        <w:t>构建现代化教育新生态。</w:t>
      </w:r>
      <w:r>
        <w:rPr>
          <w:rFonts w:cs="Times New Roman"/>
        </w:rPr>
        <w:t>发展优质普惠学前教育，优化公办学位供给，支持民办幼儿园提供普惠性服务，导入国际化高端幼教资源。巩固全国义务教育优质均衡发展区创建成果，实施基础教育扩优提质行动，办好必要的乡镇寄宿制学校和乡村小规模学校，深化义务教育学校标准化建设。增加普通高中教育资源供给，推进证大中学扩建等项目，推动现有普通高中挖潜扩容，加大实验学校省高品质人文特色高中建设力度。积极发展社区教育、老年教育，办好老年大学、社区学院，建立终身教育学分银行。到2030年，普惠性幼儿园覆盖率稳定在90%以上，义务教育学校100%达到省定标准。</w:t>
      </w:r>
    </w:p>
    <w:p w14:paraId="43A56167">
      <w:pPr>
        <w:bidi w:val="0"/>
      </w:pPr>
      <w:r>
        <w:rPr>
          <w:rFonts w:eastAsia="楷体_GB2312" w:cs="Times New Roman"/>
        </w:rPr>
        <w:t>强化基础教育资源前瞻性配置。</w:t>
      </w:r>
      <w:r>
        <w:t>加快建立同常住人口变化相协调的基本公共教育服务供给机制，建立完善基础教育资源跨学段统筹调配机制，推动教育资源向产业聚集、人口增长较快区域转移。打通小学和初中校舍资源共享途径，支持有条件的义务教育学校和普通高中就近共享校舍，支持城区优质高中利用乡镇闲置校舍开办寄宿制学校。稳妥整合小、散、弱学校，因地制宜盘活农村闲置校舍资源。实施教育优质资源“扩面提质”行动，深化“紧密型+联盟型”集团办学体系，实施初中学段集团“共建”工程、小学学段和学前教育“三级融合”行动，推动集团内部管理、师资、课程、文化互通互融。</w:t>
      </w:r>
      <w:r>
        <w:rPr>
          <w:rFonts w:hint="eastAsia"/>
        </w:rPr>
        <w:t>到2030年，小学和初中义务教育学校资源配置校际差异系数分别不大于0.50和不大于0.45</w:t>
      </w:r>
      <w:r>
        <w:rPr>
          <w:rFonts w:hint="eastAsia"/>
          <w:lang w:eastAsia="zh-CN"/>
        </w:rPr>
        <w:t>。</w:t>
      </w:r>
      <w:r>
        <w:t>​</w:t>
      </w:r>
    </w:p>
    <w:p w14:paraId="3A967480">
      <w:pPr>
        <w:rPr>
          <w:rFonts w:eastAsia="方正仿宋_GBK" w:cs="Times New Roman"/>
        </w:rPr>
      </w:pPr>
      <w:r>
        <w:rPr>
          <w:rFonts w:eastAsia="楷体_GB2312" w:cs="Times New Roman"/>
        </w:rPr>
        <w:t>深化教育改革创新发展</w:t>
      </w:r>
      <w:r>
        <w:rPr>
          <w:rFonts w:cs="Times New Roman"/>
        </w:rPr>
        <w:t>。坚持立德树人根本任务，放大“崇謇启行”品牌效应，充分发挥张謇青少年研学中心等载体作用，开发更多“场馆里的思政课”和“行走的思政课”。完善“五育并举”教育评价体系，深化义务教育学校“</w:t>
      </w:r>
      <w:r>
        <w:rPr>
          <w:rFonts w:eastAsia="楷体_GB2312" w:cs="Times New Roman"/>
        </w:rPr>
        <w:t>2·15</w:t>
      </w:r>
      <w:r>
        <w:rPr>
          <w:rFonts w:cs="Times New Roman"/>
        </w:rPr>
        <w:t>专项行动”和“一校一品”建设，建设具有全国影响力的足球学校，深化美育浸润行动、关爱青少年心理健康“润心”行动，广泛开展“八礼四仪”养成教育和“童”字系列美育活动。关注家庭教育，健全学校家庭社会协同育人机制。深化教育教学改革，探索“小初高”贯通培养体系，深化义务教育阶段“六学课堂”教学改革和“双减”改革，推动普通高中教育完善综合素质评价、选课走班、学分制等教学管理制度。实施教师队伍高质量发展“彩虹行动”计划，完善教师“师德+业绩+专业发展”多元评价机制，强化教师待遇保障，建立教师发展支持服务平台和区域教学质量监测中心，培育一批名师工作室。到2030年，新增南通市级及以上名师工作室总数不少于10个，学生体质健康达标率提升至96%、艺术素养测评合格率和劳动教育实践参与率均达100%。</w:t>
      </w:r>
    </w:p>
    <w:tbl>
      <w:tblPr>
        <w:tblStyle w:val="2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60"/>
      </w:tblGrid>
      <w:tr w14:paraId="46C12A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60" w:type="dxa"/>
          </w:tcPr>
          <w:p w14:paraId="3900224D">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eastAsia="黑体" w:cs="Times New Roman"/>
                <w:sz w:val="24"/>
              </w:rPr>
            </w:pPr>
            <w:r>
              <w:rPr>
                <w:rFonts w:eastAsia="黑体" w:cs="Times New Roman"/>
                <w:sz w:val="24"/>
              </w:rPr>
              <w:t>专栏21  教育重点工程项目</w:t>
            </w:r>
          </w:p>
          <w:p w14:paraId="5530A89B">
            <w:pPr>
              <w:keepNext w:val="0"/>
              <w:keepLines w:val="0"/>
              <w:pageBreakBefore w:val="0"/>
              <w:widowControl w:val="0"/>
              <w:kinsoku/>
              <w:wordWrap/>
              <w:overflowPunct/>
              <w:topLinePunct w:val="0"/>
              <w:autoSpaceDE/>
              <w:autoSpaceDN/>
              <w:bidi w:val="0"/>
              <w:adjustRightInd/>
              <w:snapToGrid/>
              <w:spacing w:line="400" w:lineRule="exact"/>
              <w:ind w:firstLine="480"/>
              <w:textAlignment w:val="auto"/>
              <w:rPr>
                <w:rFonts w:cs="Times New Roman"/>
              </w:rPr>
            </w:pPr>
            <w:r>
              <w:rPr>
                <w:rFonts w:hint="eastAsia" w:ascii="仿宋_GB2312" w:hAnsi="仿宋_GB2312" w:eastAsia="仿宋_GB2312" w:cs="仿宋_GB2312"/>
                <w:sz w:val="24"/>
              </w:rPr>
              <w:t>启动海门港经开区第二幼儿园新建工程；视生源情况，适时推进长江路初中、长江路小学、新教育小学、第一实验小学、聚贤初中等项目规划建设；完成证大中学扩建项目。</w:t>
            </w:r>
          </w:p>
        </w:tc>
      </w:tr>
    </w:tbl>
    <w:p w14:paraId="7B951620">
      <w:pPr>
        <w:pStyle w:val="3"/>
        <w:rPr>
          <w:rFonts w:ascii="Times New Roman" w:hAnsi="Times New Roman" w:cs="Times New Roman"/>
        </w:rPr>
      </w:pPr>
      <w:bookmarkStart w:id="785" w:name="_Toc17767"/>
      <w:bookmarkStart w:id="786" w:name="_Toc6771"/>
      <w:bookmarkStart w:id="787" w:name="_Toc15978"/>
      <w:bookmarkStart w:id="788" w:name="_Toc23516"/>
      <w:bookmarkStart w:id="789" w:name="_Toc12625"/>
      <w:bookmarkStart w:id="790" w:name="_Toc27499"/>
      <w:bookmarkStart w:id="791" w:name="_Toc20685"/>
      <w:bookmarkStart w:id="792" w:name="_Toc20879"/>
      <w:bookmarkStart w:id="793" w:name="_Toc22040"/>
      <w:bookmarkStart w:id="794" w:name="_Toc7437"/>
      <w:bookmarkStart w:id="795" w:name="_Toc19707"/>
      <w:bookmarkStart w:id="796" w:name="_Toc1865"/>
      <w:bookmarkStart w:id="797" w:name="_Toc16331"/>
      <w:bookmarkStart w:id="798" w:name="_Toc19363"/>
      <w:r>
        <w:rPr>
          <w:rFonts w:ascii="Times New Roman" w:hAnsi="Times New Roman" w:cs="Times New Roman"/>
        </w:rPr>
        <w:t>第四节  建设优质高效的健康海门</w:t>
      </w:r>
      <w:bookmarkEnd w:id="785"/>
      <w:bookmarkEnd w:id="786"/>
      <w:bookmarkEnd w:id="787"/>
      <w:bookmarkEnd w:id="788"/>
      <w:bookmarkEnd w:id="789"/>
      <w:bookmarkEnd w:id="790"/>
      <w:bookmarkEnd w:id="791"/>
      <w:bookmarkEnd w:id="792"/>
      <w:bookmarkEnd w:id="793"/>
      <w:bookmarkEnd w:id="794"/>
      <w:bookmarkEnd w:id="795"/>
      <w:bookmarkEnd w:id="796"/>
      <w:bookmarkEnd w:id="797"/>
      <w:bookmarkEnd w:id="798"/>
    </w:p>
    <w:p w14:paraId="217EC748">
      <w:pPr>
        <w:rPr>
          <w:rFonts w:eastAsia="方正仿宋_GBK" w:cs="Times New Roman"/>
        </w:rPr>
      </w:pPr>
      <w:r>
        <w:rPr>
          <w:rFonts w:eastAsia="楷体_GB2312" w:cs="Times New Roman"/>
        </w:rPr>
        <w:t>提升综合医疗服务能力。</w:t>
      </w:r>
      <w:r>
        <w:rPr>
          <w:rFonts w:cs="Times New Roman"/>
        </w:rPr>
        <w:t>落实医疗卫生强基工程，巩固“一体三翼五中心+N”医疗卫生服务体系，打造“15分钟优质健康服务圈”。加快区域医疗中心建设，提升重大疾病救治和康复能力，推动区人民医院创建三级甲等综合性医院、区中医院创建三级甲等中医医院，力争区精神病医院（区第六人民医院）创成二级精神病专科医院</w:t>
      </w:r>
      <w:r>
        <w:rPr>
          <w:rFonts w:hint="eastAsia" w:cs="Times New Roman"/>
        </w:rPr>
        <w:t>、区康复医疗中心</w:t>
      </w:r>
      <w:r>
        <w:rPr>
          <w:rFonts w:cs="Times New Roman"/>
        </w:rPr>
        <w:t>（区人民医院分院）</w:t>
      </w:r>
      <w:r>
        <w:rPr>
          <w:rFonts w:hint="eastAsia" w:cs="Times New Roman"/>
        </w:rPr>
        <w:t>创成二级康复专科医院</w:t>
      </w:r>
      <w:r>
        <w:rPr>
          <w:rFonts w:cs="Times New Roman"/>
        </w:rPr>
        <w:t>。加强省、市临床重点专科和医学学科建设，打造心血管、骨科、中医骨伤、中医肿瘤、康复医学等五大专科集群，支持每个集群培育1</w:t>
      </w:r>
      <w:r>
        <w:rPr>
          <w:rFonts w:hint="eastAsia" w:cs="Times New Roman"/>
          <w:lang w:eastAsia="zh-CN"/>
        </w:rPr>
        <w:t>—</w:t>
      </w:r>
      <w:r>
        <w:rPr>
          <w:rFonts w:cs="Times New Roman"/>
        </w:rPr>
        <w:t>2个市级标杆专科。推动更多优质医疗资源下沉，提升农村区域性医疗卫生中心服务能力。开展乡镇卫生院达标建设，推动乡镇卫生院和社区卫生服务中心普遍达到国家“优质服务基层行”推荐标准要求。规范村卫生室建设，完成100家村卫生室新建或改造。加快县域医共体资源共享，壮大十大专科联盟，完善医学影像、临床检验、共享药房、智慧急救等共享中心建设，建设数字医共体。深化以公益性为导向的公立医院改革，加强医疗机构运行保障。落实分级诊疗措施，推动“小病不出镇、一般病不出区”。到2030年，省级重点专科突破3个，县域内就诊率达85%以上。</w:t>
      </w:r>
    </w:p>
    <w:tbl>
      <w:tblPr>
        <w:tblStyle w:val="2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60"/>
      </w:tblGrid>
      <w:tr w14:paraId="53348F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60" w:type="dxa"/>
          </w:tcPr>
          <w:p w14:paraId="17AFE02A">
            <w:pPr>
              <w:keepNext w:val="0"/>
              <w:keepLines w:val="0"/>
              <w:pageBreakBefore w:val="0"/>
              <w:widowControl w:val="0"/>
              <w:kinsoku/>
              <w:wordWrap/>
              <w:overflowPunct/>
              <w:topLinePunct w:val="0"/>
              <w:autoSpaceDE/>
              <w:autoSpaceDN/>
              <w:bidi w:val="0"/>
              <w:adjustRightInd/>
              <w:spacing w:line="400" w:lineRule="exact"/>
              <w:ind w:firstLineChars="0"/>
              <w:jc w:val="center"/>
              <w:textAlignment w:val="auto"/>
              <w:rPr>
                <w:rFonts w:eastAsia="黑体" w:cs="Times New Roman"/>
                <w:sz w:val="24"/>
              </w:rPr>
            </w:pPr>
            <w:r>
              <w:rPr>
                <w:rFonts w:eastAsia="黑体" w:cs="Times New Roman"/>
                <w:sz w:val="24"/>
              </w:rPr>
              <w:t>专栏22  “一体三翼五中心+N”医疗卫生服务体系</w:t>
            </w:r>
          </w:p>
          <w:p w14:paraId="513757EA">
            <w:pPr>
              <w:pStyle w:val="12"/>
              <w:keepNext w:val="0"/>
              <w:keepLines w:val="0"/>
              <w:pageBreakBefore w:val="0"/>
              <w:widowControl w:val="0"/>
              <w:kinsoku/>
              <w:wordWrap/>
              <w:overflowPunct/>
              <w:topLinePunct w:val="0"/>
              <w:autoSpaceDE/>
              <w:autoSpaceDN/>
              <w:bidi w:val="0"/>
              <w:adjustRightInd/>
              <w:spacing w:line="400" w:lineRule="exact"/>
              <w:ind w:firstLine="480"/>
              <w:textAlignment w:val="auto"/>
              <w:rPr>
                <w:rFonts w:cs="Times New Roman"/>
              </w:rPr>
            </w:pPr>
            <w:r>
              <w:rPr>
                <w:rFonts w:eastAsia="楷体_GB2312" w:cs="Times New Roman"/>
                <w:sz w:val="24"/>
                <w:szCs w:val="40"/>
              </w:rPr>
              <w:t>“一体”：</w:t>
            </w:r>
            <w:r>
              <w:rPr>
                <w:rFonts w:hint="default" w:ascii="Times New Roman" w:hAnsi="Times New Roman" w:eastAsia="仿宋_GB2312" w:cs="Times New Roman"/>
                <w:sz w:val="24"/>
                <w:szCs w:val="40"/>
              </w:rPr>
              <w:t>以区人民医院、中医院为龙头，一体化统筹全区医疗资源，形成“医共体集团”核心</w:t>
            </w:r>
            <w:r>
              <w:rPr>
                <w:rFonts w:cs="Times New Roman"/>
                <w:sz w:val="24"/>
                <w:szCs w:val="40"/>
              </w:rPr>
              <w:t>；</w:t>
            </w:r>
            <w:r>
              <w:rPr>
                <w:rFonts w:eastAsia="楷体_GB2312" w:cs="Times New Roman"/>
                <w:sz w:val="24"/>
                <w:szCs w:val="40"/>
              </w:rPr>
              <w:t>“三翼”：</w:t>
            </w:r>
            <w:r>
              <w:rPr>
                <w:rFonts w:hint="eastAsia" w:ascii="仿宋_GB2312" w:hAnsi="仿宋_GB2312" w:eastAsia="仿宋_GB2312" w:cs="仿宋_GB2312"/>
                <w:sz w:val="24"/>
                <w:szCs w:val="40"/>
              </w:rPr>
              <w:t>做强三星镇、海门高新区、海门港经开区3个产业集中区的综合性医院，发挥县域医疗次中心作用</w:t>
            </w:r>
            <w:r>
              <w:rPr>
                <w:rFonts w:cs="Times New Roman"/>
                <w:sz w:val="24"/>
                <w:szCs w:val="40"/>
              </w:rPr>
              <w:t>；</w:t>
            </w:r>
            <w:r>
              <w:rPr>
                <w:rFonts w:eastAsia="楷体_GB2312" w:cs="Times New Roman"/>
                <w:sz w:val="24"/>
                <w:szCs w:val="40"/>
              </w:rPr>
              <w:t>“五中心”：</w:t>
            </w:r>
            <w:r>
              <w:rPr>
                <w:rFonts w:cs="Times New Roman"/>
                <w:sz w:val="24"/>
                <w:szCs w:val="40"/>
              </w:rPr>
              <w:t>重点建设三厂街道中心卫生院、海门港经开区（包场镇）中心卫生院、四甲镇中心卫生院、悦来镇中心卫生院和区第六人民医院等五大农村区域医疗中心，差异化发展，提升特色诊疗能力；</w:t>
            </w:r>
            <w:r>
              <w:rPr>
                <w:rFonts w:eastAsia="楷体_GB2312" w:cs="Times New Roman"/>
                <w:sz w:val="24"/>
                <w:szCs w:val="40"/>
              </w:rPr>
              <w:t>N个基层医疗机构：</w:t>
            </w:r>
            <w:r>
              <w:rPr>
                <w:rFonts w:cs="Times New Roman"/>
                <w:sz w:val="24"/>
                <w:szCs w:val="40"/>
              </w:rPr>
              <w:t>做优乡镇卫生院、街道卫生服务中心、村卫生室、社区卫生服务站等，实现基层常见病、多发病防治全覆盖。</w:t>
            </w:r>
          </w:p>
        </w:tc>
      </w:tr>
    </w:tbl>
    <w:p w14:paraId="227B166F">
      <w:pPr>
        <w:keepNext w:val="0"/>
        <w:keepLines w:val="0"/>
        <w:pageBreakBefore w:val="0"/>
        <w:widowControl w:val="0"/>
        <w:kinsoku/>
        <w:wordWrap/>
        <w:overflowPunct/>
        <w:topLinePunct w:val="0"/>
        <w:autoSpaceDE/>
        <w:autoSpaceDN/>
        <w:bidi w:val="0"/>
        <w:adjustRightInd/>
        <w:snapToGrid/>
        <w:spacing w:line="240" w:lineRule="exact"/>
        <w:ind w:firstLine="0" w:firstLineChars="0"/>
        <w:textAlignment w:val="auto"/>
        <w:rPr>
          <w:rFonts w:cs="Times New Roman"/>
        </w:rPr>
      </w:pPr>
    </w:p>
    <w:p w14:paraId="671872D1">
      <w:pPr>
        <w:bidi w:val="0"/>
      </w:pPr>
      <w:r>
        <w:rPr>
          <w:rFonts w:eastAsia="楷体_GB2312" w:cs="Times New Roman"/>
        </w:rPr>
        <w:t>健全卫生健康服务体系。</w:t>
      </w:r>
      <w:r>
        <w:t>构建“防、治、康、管”全链条卫生健康服务体系，深化乡镇卫生院“三位一体”改革。强化疾病预防控制，加强区疾病预防控制中心能力建设，依托区人民医院新院建设区传染病医院，落实各项重大传染病、寄生虫病、地方病重点人群干预措施，加强慢性病、精神卫生和职业病防治。建立健全公共卫生事件应急处置机制，全方位提升急诊急救、血液保障和应急能力。提升突发急性传染病防控和突发事件紧急医学救援能力。健全院前医疗急救保障制度和运行机制，完善和规范120急救指挥中心、急救站建设。</w:t>
      </w:r>
    </w:p>
    <w:p w14:paraId="16FA54EC">
      <w:pPr>
        <w:pStyle w:val="5"/>
      </w:pPr>
    </w:p>
    <w:tbl>
      <w:tblPr>
        <w:tblStyle w:val="2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60"/>
      </w:tblGrid>
      <w:tr w14:paraId="5E7FBA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60" w:type="dxa"/>
          </w:tcPr>
          <w:p w14:paraId="2FF9BB9B">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eastAsia="黑体" w:cs="Times New Roman"/>
                <w:sz w:val="24"/>
              </w:rPr>
            </w:pPr>
            <w:r>
              <w:rPr>
                <w:rFonts w:eastAsia="黑体" w:cs="Times New Roman"/>
                <w:sz w:val="24"/>
              </w:rPr>
              <w:t>专栏23  探索实施乡镇卫生院“三位一体”改革</w:t>
            </w:r>
          </w:p>
          <w:p w14:paraId="1A9EF091">
            <w:pPr>
              <w:keepNext w:val="0"/>
              <w:keepLines w:val="0"/>
              <w:pageBreakBefore w:val="0"/>
              <w:widowControl w:val="0"/>
              <w:kinsoku/>
              <w:wordWrap/>
              <w:overflowPunct/>
              <w:topLinePunct w:val="0"/>
              <w:autoSpaceDE/>
              <w:autoSpaceDN/>
              <w:bidi w:val="0"/>
              <w:adjustRightInd/>
              <w:snapToGrid/>
              <w:spacing w:line="400" w:lineRule="exact"/>
              <w:ind w:firstLine="480"/>
              <w:textAlignment w:val="auto"/>
              <w:rPr>
                <w:rFonts w:cs="Times New Roman"/>
              </w:rPr>
            </w:pPr>
            <w:r>
              <w:rPr>
                <w:rFonts w:cs="Times New Roman"/>
                <w:sz w:val="24"/>
                <w:szCs w:val="21"/>
              </w:rPr>
              <w:t>在三厂街道、海门港经开区（包场镇）</w:t>
            </w:r>
            <w:r>
              <w:rPr>
                <w:rFonts w:hint="eastAsia" w:cs="Times New Roman"/>
                <w:sz w:val="24"/>
                <w:szCs w:val="21"/>
              </w:rPr>
              <w:t>、</w:t>
            </w:r>
            <w:r>
              <w:rPr>
                <w:rFonts w:cs="Times New Roman"/>
                <w:sz w:val="24"/>
                <w:szCs w:val="21"/>
              </w:rPr>
              <w:t>四甲镇、悦来镇、余东镇等区镇</w:t>
            </w:r>
            <w:r>
              <w:rPr>
                <w:rFonts w:hint="eastAsia" w:cs="Times New Roman"/>
                <w:sz w:val="24"/>
                <w:szCs w:val="21"/>
              </w:rPr>
              <w:t>探索</w:t>
            </w:r>
            <w:r>
              <w:rPr>
                <w:rFonts w:cs="Times New Roman"/>
                <w:sz w:val="24"/>
                <w:szCs w:val="21"/>
              </w:rPr>
              <w:t>开展乡镇卫生院一体化管理，探索构建区域诊疗中心、医防融合中心（基本公共卫生服务中心）、医养护理中心“三位一体”发展模式，优化床位资源配置，推动增量床位向康复护理、安宁疗护领域倾斜，针对性提供专业化医疗服务。</w:t>
            </w:r>
          </w:p>
        </w:tc>
      </w:tr>
    </w:tbl>
    <w:p w14:paraId="65247ED3">
      <w:pPr>
        <w:keepNext w:val="0"/>
        <w:keepLines w:val="0"/>
        <w:pageBreakBefore w:val="0"/>
        <w:widowControl w:val="0"/>
        <w:kinsoku/>
        <w:wordWrap/>
        <w:overflowPunct/>
        <w:topLinePunct w:val="0"/>
        <w:autoSpaceDE/>
        <w:autoSpaceDN/>
        <w:bidi w:val="0"/>
        <w:adjustRightInd/>
        <w:snapToGrid/>
        <w:spacing w:line="240" w:lineRule="exact"/>
        <w:ind w:firstLine="0" w:firstLineChars="0"/>
        <w:textAlignment w:val="auto"/>
        <w:rPr>
          <w:rFonts w:cs="Times New Roman"/>
        </w:rPr>
      </w:pPr>
    </w:p>
    <w:p w14:paraId="4422490E">
      <w:pPr>
        <w:rPr>
          <w:rFonts w:cs="Times New Roman"/>
        </w:rPr>
      </w:pPr>
      <w:r>
        <w:rPr>
          <w:rFonts w:eastAsia="楷体_GB2312" w:cs="Times New Roman"/>
        </w:rPr>
        <w:t>提高全民健康素养。</w:t>
      </w:r>
      <w:r>
        <w:rPr>
          <w:rFonts w:cs="Times New Roman"/>
        </w:rPr>
        <w:t>实施健康优先发展战略，提升爱国卫生运动成效。深入开展全民健康素养促进行动，科学普及健康知识，引导群众建立正确健康观。加强心理健康和精神卫生服务。实施中医药强区战略，发展中医药健康服务，加强中医药传承创新，逐步将中医“治未病”纳入社区健康医疗服务范围。完善妇女儿童健康服务体系，开展0</w:t>
      </w:r>
      <w:r>
        <w:rPr>
          <w:rFonts w:hint="eastAsia" w:cs="Times New Roman"/>
          <w:lang w:eastAsia="zh-CN"/>
        </w:rPr>
        <w:t>—</w:t>
      </w:r>
      <w:r>
        <w:rPr>
          <w:rFonts w:cs="Times New Roman"/>
        </w:rPr>
        <w:t>6岁儿童眼保健和视力检查，加强儿童近视、肥胖等防治，优化妇女“两癌”防治服务。健全老年健康服务体系，推动综合性医院和中医医院增强老年健康服务能力。</w:t>
      </w:r>
    </w:p>
    <w:tbl>
      <w:tblPr>
        <w:tblStyle w:val="2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60"/>
      </w:tblGrid>
      <w:tr w14:paraId="268D10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0" w:hRule="atLeast"/>
        </w:trPr>
        <w:tc>
          <w:tcPr>
            <w:tcW w:w="9060" w:type="dxa"/>
          </w:tcPr>
          <w:p w14:paraId="72598735">
            <w:pPr>
              <w:pStyle w:val="13"/>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center"/>
              <w:textAlignment w:val="auto"/>
              <w:rPr>
                <w:rFonts w:eastAsia="黑体"/>
                <w:sz w:val="24"/>
                <w:szCs w:val="32"/>
              </w:rPr>
            </w:pPr>
            <w:r>
              <w:rPr>
                <w:rFonts w:eastAsia="黑体"/>
                <w:sz w:val="24"/>
                <w:szCs w:val="32"/>
              </w:rPr>
              <w:t>专栏24  医疗卫生重点工程项目</w:t>
            </w:r>
          </w:p>
          <w:p w14:paraId="6FA4F662">
            <w:pPr>
              <w:keepNext w:val="0"/>
              <w:keepLines w:val="0"/>
              <w:pageBreakBefore w:val="0"/>
              <w:widowControl w:val="0"/>
              <w:kinsoku/>
              <w:wordWrap/>
              <w:overflowPunct/>
              <w:topLinePunct w:val="0"/>
              <w:autoSpaceDE/>
              <w:autoSpaceDN/>
              <w:bidi w:val="0"/>
              <w:adjustRightInd/>
              <w:snapToGrid/>
              <w:spacing w:line="400" w:lineRule="exact"/>
              <w:ind w:firstLine="480"/>
              <w:textAlignment w:val="auto"/>
              <w:rPr>
                <w:rFonts w:cs="Times New Roman"/>
              </w:rPr>
            </w:pPr>
            <w:r>
              <w:rPr>
                <w:rFonts w:cs="Times New Roman"/>
                <w:sz w:val="24"/>
                <w:szCs w:val="21"/>
              </w:rPr>
              <w:t>悦来镇中心卫生院改扩建、三厂街道中心卫生院改建、乡镇卫生院分院改造、海门区县域医共体资源共享中心建设。</w:t>
            </w:r>
          </w:p>
        </w:tc>
      </w:tr>
    </w:tbl>
    <w:p w14:paraId="0CCA646A">
      <w:pPr>
        <w:pStyle w:val="3"/>
        <w:rPr>
          <w:rFonts w:ascii="Times New Roman" w:hAnsi="Times New Roman" w:cs="Times New Roman"/>
        </w:rPr>
      </w:pPr>
      <w:bookmarkStart w:id="799" w:name="_Toc14932"/>
      <w:bookmarkStart w:id="800" w:name="_Toc13630"/>
      <w:bookmarkStart w:id="801" w:name="_Toc3334"/>
      <w:bookmarkStart w:id="802" w:name="_Toc22785"/>
      <w:bookmarkStart w:id="803" w:name="_Toc22876"/>
      <w:bookmarkStart w:id="804" w:name="_Toc7586"/>
      <w:bookmarkStart w:id="805" w:name="_Toc16547"/>
      <w:bookmarkStart w:id="806" w:name="_Toc3963"/>
      <w:bookmarkStart w:id="807" w:name="_Toc14490"/>
      <w:bookmarkStart w:id="808" w:name="_Toc2920"/>
      <w:bookmarkStart w:id="809" w:name="_Toc20326"/>
      <w:bookmarkStart w:id="810" w:name="_Toc13892"/>
      <w:bookmarkStart w:id="811" w:name="_Toc3401"/>
      <w:bookmarkStart w:id="812" w:name="_Toc5655"/>
      <w:r>
        <w:rPr>
          <w:rFonts w:ascii="Times New Roman" w:hAnsi="Times New Roman" w:cs="Times New Roman"/>
        </w:rPr>
        <w:t>第五节  织密社会保障网络</w:t>
      </w:r>
      <w:bookmarkEnd w:id="799"/>
      <w:bookmarkEnd w:id="800"/>
      <w:bookmarkEnd w:id="801"/>
      <w:bookmarkEnd w:id="802"/>
      <w:bookmarkEnd w:id="803"/>
      <w:bookmarkEnd w:id="804"/>
      <w:bookmarkEnd w:id="805"/>
      <w:bookmarkEnd w:id="806"/>
      <w:bookmarkEnd w:id="807"/>
      <w:bookmarkEnd w:id="808"/>
      <w:bookmarkEnd w:id="809"/>
      <w:bookmarkEnd w:id="810"/>
      <w:bookmarkEnd w:id="811"/>
      <w:bookmarkEnd w:id="812"/>
    </w:p>
    <w:p w14:paraId="4B7AE51D">
      <w:pPr>
        <w:bidi w:val="0"/>
      </w:pPr>
      <w:r>
        <w:rPr>
          <w:rFonts w:eastAsia="楷体_GB2312" w:cs="Times New Roman"/>
        </w:rPr>
        <w:t>推进社会保险扩面提质。</w:t>
      </w:r>
      <w:r>
        <w:t>深入实施全民参保计划，持续开展“数据找人”社保扩面专项行动，</w:t>
      </w:r>
      <w:r>
        <w:rPr>
          <w:rFonts w:hint="eastAsia"/>
        </w:rPr>
        <w:t>鼓励</w:t>
      </w:r>
      <w:r>
        <w:t>灵活就业人员、农民工、新就业形态人员参保。完善基本养老保险制度，稳步提高城乡居民养老保险待遇水平，扩大企业年金和个人养老金覆盖面。落实基本医疗保险参保长效机制，鼓励居民及时、连续参保，加大职工医保政策宣传力度，深化“15分钟医保服务圈”</w:t>
      </w:r>
      <w:r>
        <w:rPr>
          <w:rFonts w:hint="eastAsia"/>
        </w:rPr>
        <w:t>建设，提高医保公共服务水平</w:t>
      </w:r>
      <w:r>
        <w:t>。深入推进药品耗材集采、医保支付方式改革。完善长期护理保险制度，深化“一站式”照护中心建设，有序扩大定点护理机构范围，打响“阳光照护·温暖同行”品牌。督促各类企业依法依规参加失业保险，畅通失业保险申领渠道、优化经办服务。强化工伤保险制度功能，提升工伤认定和劳动能力鉴定服务质效。深化外卖人员等新业态群体职业伤害险试点。加强社会保险基金安全监管。鼓励各类商业保险发挥补充保障作用。到2030年，城乡居民基本养老保险、医疗保险参保率均达98%，职工医保参保人数占总参保人数的比例提高到35%以上。</w:t>
      </w:r>
    </w:p>
    <w:p w14:paraId="44B462A0">
      <w:pPr>
        <w:widowControl/>
        <w:rPr>
          <w:rFonts w:cs="Times New Roman"/>
          <w:szCs w:val="32"/>
        </w:rPr>
      </w:pPr>
      <w:r>
        <w:rPr>
          <w:rFonts w:eastAsia="楷体_GB2312" w:cs="Times New Roman"/>
        </w:rPr>
        <w:t>构建房地产发展新模式</w:t>
      </w:r>
      <w:r>
        <w:rPr>
          <w:rFonts w:cs="Times New Roman"/>
        </w:rPr>
        <w:t>。健全“人、房、地、钱”要素联动机制，</w:t>
      </w:r>
      <w:r>
        <w:rPr>
          <w:rFonts w:cs="Times New Roman"/>
          <w:szCs w:val="32"/>
        </w:rPr>
        <w:t>完善多主体供给、多渠道保障、租购并举的住房制度，更好满足群众刚性和多样化改善性住房需求。</w:t>
      </w:r>
      <w:r>
        <w:rPr>
          <w:rFonts w:cs="Times New Roman"/>
        </w:rPr>
        <w:t>优化保障性住房供给，</w:t>
      </w:r>
      <w:r>
        <w:rPr>
          <w:rFonts w:cs="Times New Roman"/>
          <w:szCs w:val="32"/>
        </w:rPr>
        <w:t>完善公租房申请条件和保障标准，及时合理调整保障范围和保障标准，重点解决新市民、青年人的住房问题，加大对产业园区、交通枢纽等人口密集区域的保障性租赁住房布局。</w:t>
      </w:r>
      <w:r>
        <w:rPr>
          <w:rFonts w:cs="Times New Roman"/>
        </w:rPr>
        <w:t>强化房地产控增量、去库存、优供给，</w:t>
      </w:r>
      <w:r>
        <w:rPr>
          <w:rFonts w:cs="Times New Roman"/>
          <w:szCs w:val="32"/>
        </w:rPr>
        <w:t>强化“保交房”工作</w:t>
      </w:r>
      <w:r>
        <w:rPr>
          <w:rFonts w:cs="Times New Roman"/>
          <w:szCs w:val="40"/>
        </w:rPr>
        <w:t>，</w:t>
      </w:r>
      <w:r>
        <w:rPr>
          <w:rFonts w:cs="Times New Roman"/>
          <w:szCs w:val="32"/>
        </w:rPr>
        <w:t>有序扩大现房销售规模。</w:t>
      </w:r>
      <w:r>
        <w:rPr>
          <w:rFonts w:cs="Times New Roman"/>
        </w:rPr>
        <w:t>巩固扩大房票安置成效，</w:t>
      </w:r>
      <w:r>
        <w:rPr>
          <w:rFonts w:cs="Times New Roman"/>
          <w:szCs w:val="32"/>
        </w:rPr>
        <w:t>加大区镇换购、以旧换新力度。落实住宅工程品质提升行动，全链条提升住房设计、建造、维护与服务品质，加大核心区域、优质地块供应，建设百姓心中的“好房子”。构建房屋全生命周期安全管理制度。规范发展住房租赁市场。到2030年，完成公租房保障户数不低于150户、新增保障性租赁住房户数不低于3000户。</w:t>
      </w:r>
    </w:p>
    <w:p w14:paraId="57386CD7">
      <w:pPr>
        <w:rPr>
          <w:rFonts w:cs="Times New Roman"/>
        </w:rPr>
      </w:pPr>
      <w:r>
        <w:rPr>
          <w:rFonts w:eastAsia="楷体_GB2312" w:cs="Times New Roman"/>
        </w:rPr>
        <w:t>完善分层分类社会救助体系。</w:t>
      </w:r>
      <w:r>
        <w:rPr>
          <w:rFonts w:cs="Times New Roman"/>
        </w:rPr>
        <w:t>优化调整特困人员救助供养认定办法，加强分散供养特困人员照料服务，提高生活不能自理特困人员集中供养率。加大低收入家庭和支出型困难家庭社会救助保障力度。提升急难社会救助能力，畅通急难救助申请和急难情况及时报告、主动发现渠道。发展服务类社会救助，深化“物质+服务”综合救助模式，根据不同对象类型实施差异化救助服务。积极发展慈善救助。到2030年，低保对象精准救助率100%。</w:t>
      </w:r>
    </w:p>
    <w:p w14:paraId="2AB45058">
      <w:pPr>
        <w:rPr>
          <w:rFonts w:cs="Times New Roman"/>
        </w:rPr>
        <w:sectPr>
          <w:pgSz w:w="11906" w:h="16838"/>
          <w:pgMar w:top="1814" w:right="1531" w:bottom="1984" w:left="1531" w:header="510" w:footer="1474" w:gutter="0"/>
          <w:cols w:space="0" w:num="1"/>
          <w:docGrid w:type="lines" w:linePitch="312" w:charSpace="0"/>
        </w:sectPr>
      </w:pPr>
      <w:r>
        <w:rPr>
          <w:rFonts w:eastAsia="楷体_GB2312" w:cs="Times New Roman"/>
        </w:rPr>
        <w:t>完善殡葬基础设施建设。</w:t>
      </w:r>
      <w:r>
        <w:rPr>
          <w:rFonts w:cs="Times New Roman"/>
        </w:rPr>
        <w:t>完善殡仪馆、农村公益性公墓等殡葬基础设施建设，填补服务空白区域，切实保障群众“逝有所安”基本需求。推进殡葬服务设施改造提升，推进农村公益性安葬设施建设。重点实施镇级公益性公墓新建项目，对条件薄弱、需求迫切的村级公益性公墓进行改扩建，改善农村公益性安葬环境。</w:t>
      </w:r>
    </w:p>
    <w:p w14:paraId="627B0A72">
      <w:pPr>
        <w:pStyle w:val="2"/>
        <w:rPr>
          <w:rFonts w:ascii="Times New Roman" w:hAnsi="Times New Roman" w:cs="Times New Roman"/>
        </w:rPr>
      </w:pPr>
      <w:bookmarkStart w:id="813" w:name="_Toc25744"/>
      <w:bookmarkStart w:id="814" w:name="_Toc19926"/>
      <w:bookmarkStart w:id="815" w:name="_Toc24020"/>
      <w:bookmarkStart w:id="816" w:name="_Toc19747"/>
      <w:bookmarkStart w:id="817" w:name="_Toc9937"/>
      <w:bookmarkStart w:id="818" w:name="_Toc2512"/>
      <w:bookmarkStart w:id="819" w:name="_Toc8476"/>
      <w:bookmarkStart w:id="820" w:name="_Toc24234"/>
      <w:bookmarkStart w:id="821" w:name="_Toc8906"/>
      <w:bookmarkStart w:id="822" w:name="_Toc6705"/>
      <w:bookmarkStart w:id="823" w:name="_Toc2303"/>
      <w:bookmarkStart w:id="824" w:name="_Toc20086"/>
      <w:bookmarkStart w:id="825" w:name="_Toc6791"/>
      <w:bookmarkStart w:id="826" w:name="_Toc18385"/>
      <w:r>
        <w:rPr>
          <w:rFonts w:ascii="Times New Roman" w:hAnsi="Times New Roman" w:cs="Times New Roman"/>
        </w:rPr>
        <w:t>第十三章  完善高质量人口服务体系  建设全龄友好型城市</w:t>
      </w:r>
      <w:bookmarkEnd w:id="813"/>
      <w:bookmarkEnd w:id="814"/>
      <w:bookmarkEnd w:id="815"/>
      <w:bookmarkEnd w:id="816"/>
      <w:bookmarkEnd w:id="817"/>
      <w:bookmarkEnd w:id="818"/>
      <w:bookmarkEnd w:id="819"/>
      <w:bookmarkEnd w:id="820"/>
      <w:bookmarkEnd w:id="821"/>
      <w:bookmarkEnd w:id="822"/>
      <w:bookmarkEnd w:id="823"/>
      <w:bookmarkEnd w:id="824"/>
      <w:bookmarkEnd w:id="825"/>
      <w:bookmarkEnd w:id="826"/>
    </w:p>
    <w:p w14:paraId="254CA663">
      <w:pPr>
        <w:rPr>
          <w:rFonts w:cs="Times New Roman"/>
        </w:rPr>
      </w:pPr>
      <w:bookmarkStart w:id="827" w:name="_Toc9721"/>
      <w:r>
        <w:rPr>
          <w:rFonts w:cs="Times New Roman"/>
        </w:rPr>
        <w:t>树立“大人口观”，建立生育支持、儿童友好、青年发展、老年健康的全龄人口高质量发展服务体系，推进人才友好型、青年发展型“双型”城市建设专项行动，推动</w:t>
      </w:r>
      <w:r>
        <w:rPr>
          <w:rFonts w:cs="Times New Roman"/>
          <w:szCs w:val="32"/>
          <w:lang w:bidi="ar"/>
        </w:rPr>
        <w:t>人口与经济社会良性互动、协调发展，</w:t>
      </w:r>
      <w:r>
        <w:rPr>
          <w:rFonts w:cs="Times New Roman"/>
        </w:rPr>
        <w:t>以人口高质量发展支撑现代化建设。</w:t>
      </w:r>
    </w:p>
    <w:p w14:paraId="0897D7D2">
      <w:pPr>
        <w:pStyle w:val="3"/>
        <w:rPr>
          <w:rFonts w:ascii="Times New Roman" w:hAnsi="Times New Roman" w:cs="Times New Roman"/>
        </w:rPr>
      </w:pPr>
      <w:bookmarkStart w:id="828" w:name="_Toc15438"/>
      <w:bookmarkStart w:id="829" w:name="_Toc24930"/>
      <w:bookmarkStart w:id="830" w:name="_Toc1786"/>
      <w:bookmarkStart w:id="831" w:name="_Toc22120"/>
      <w:bookmarkStart w:id="832" w:name="_Toc15975"/>
      <w:bookmarkStart w:id="833" w:name="_Toc26467"/>
      <w:bookmarkStart w:id="834" w:name="_Toc1757"/>
      <w:bookmarkStart w:id="835" w:name="_Toc6400"/>
      <w:bookmarkStart w:id="836" w:name="_Toc15425"/>
      <w:bookmarkStart w:id="837" w:name="_Toc14102"/>
      <w:bookmarkStart w:id="838" w:name="_Toc32516"/>
      <w:bookmarkStart w:id="839" w:name="_Toc17326"/>
      <w:bookmarkStart w:id="840" w:name="_Toc17829"/>
      <w:r>
        <w:rPr>
          <w:rFonts w:ascii="Times New Roman" w:hAnsi="Times New Roman" w:cs="Times New Roman"/>
        </w:rPr>
        <w:t>第一节  健全“一老一小”服务体系</w:t>
      </w:r>
      <w:bookmarkEnd w:id="827"/>
      <w:bookmarkEnd w:id="828"/>
      <w:bookmarkEnd w:id="829"/>
      <w:bookmarkEnd w:id="830"/>
      <w:bookmarkEnd w:id="831"/>
      <w:bookmarkEnd w:id="832"/>
      <w:bookmarkEnd w:id="833"/>
      <w:bookmarkEnd w:id="834"/>
      <w:bookmarkEnd w:id="835"/>
      <w:bookmarkEnd w:id="836"/>
      <w:bookmarkEnd w:id="837"/>
      <w:bookmarkEnd w:id="838"/>
      <w:bookmarkEnd w:id="839"/>
      <w:bookmarkEnd w:id="840"/>
    </w:p>
    <w:p w14:paraId="443F3B13">
      <w:pPr>
        <w:rPr>
          <w:rFonts w:eastAsia="方正仿宋_GBK" w:cs="Times New Roman"/>
        </w:rPr>
      </w:pPr>
      <w:r>
        <w:rPr>
          <w:rFonts w:eastAsia="楷体_GB2312" w:cs="Times New Roman"/>
        </w:rPr>
        <w:t>构建生育友好型社会</w:t>
      </w:r>
      <w:r>
        <w:rPr>
          <w:rFonts w:cs="Times New Roman"/>
        </w:rPr>
        <w:t>。全面落实生育补贴、保险、休假等制度，努力保持适度生育水平。构建覆盖城乡的出生缺陷综合防治体系，提高免费婚前医学检查覆盖率，落实好免费产前筛查和新生儿疾病筛查项目，加强危重孕产妇及新生儿急救中心建设。减轻家庭生育养育教育负担，健全完善多子女家庭住房支持、“长幼随学”等政策。加强普惠托育服务体系建设，发展托幼一体化服务，深化“国企+”托育服务模式，支持用人单位办托、社区嵌入式托育等多种模式发展。</w:t>
      </w:r>
      <w:r>
        <w:rPr>
          <w:rFonts w:hint="eastAsia" w:cs="Times New Roman"/>
        </w:rPr>
        <w:t>实施</w:t>
      </w:r>
      <w:r>
        <w:rPr>
          <w:rFonts w:cs="Times New Roman"/>
        </w:rPr>
        <w:t>普惠托育机构运营补助制度，推动托育服务机构规范化、品牌化发展，引进培育知名连锁托育品牌。构建新型婚育文化，营造生育友好社会氛围。到2030年，新增省级社区普惠托育点1家</w:t>
      </w:r>
      <w:r>
        <w:rPr>
          <w:rFonts w:hint="eastAsia" w:cs="Times New Roman"/>
        </w:rPr>
        <w:t>以上</w:t>
      </w:r>
      <w:r>
        <w:rPr>
          <w:rFonts w:cs="Times New Roman"/>
        </w:rPr>
        <w:t>。</w:t>
      </w:r>
    </w:p>
    <w:p w14:paraId="48CA330D">
      <w:pPr>
        <w:bidi w:val="0"/>
        <w:rPr>
          <w:rFonts w:hint="default" w:ascii="Times New Roman" w:hAnsi="Times New Roman" w:eastAsia="仿宋_GB2312" w:cs="Times New Roman"/>
          <w:sz w:val="32"/>
          <w:szCs w:val="32"/>
        </w:rPr>
      </w:pPr>
      <w:r>
        <w:rPr>
          <w:rFonts w:eastAsia="楷体_GB2312" w:cs="Times New Roman"/>
        </w:rPr>
        <w:t>积极应对人口老龄化</w:t>
      </w:r>
      <w:r>
        <w:rPr>
          <w:rFonts w:cs="Times New Roman"/>
        </w:rPr>
        <w:t>。</w:t>
      </w:r>
      <w:r>
        <w:rPr>
          <w:rFonts w:hint="default" w:ascii="Times New Roman" w:hAnsi="Times New Roman" w:cs="Times New Roman"/>
          <w:sz w:val="32"/>
          <w:szCs w:val="32"/>
        </w:rPr>
        <w:t>深化“链式养老”服务模式，构建居家、社区、机构协</w:t>
      </w:r>
      <w:r>
        <w:rPr>
          <w:rFonts w:hint="default" w:ascii="Times New Roman" w:hAnsi="Times New Roman" w:eastAsia="仿宋_GB2312" w:cs="Times New Roman"/>
          <w:sz w:val="32"/>
          <w:szCs w:val="32"/>
        </w:rPr>
        <w:t>同发展的高效养老服务供给格局。提升居家社区养老服务品质，推进城市街道综合性养老服务中心、区镇日间照料中心建设，因地制宜开展老年人助餐服务。规范化开展政府购买居家养老上门服务，发展家庭照护床位。开展“物业+养老”“家政+养老”等服务，推动社区嵌入式养老服务模式创新。优化机构养老服务供给，推进芳华康养中心建设，稳妥撤并小而散的农村养老机构，推进农村区域性养老服务中心建设。加快医养结合，支持有条件的医院增设照护病区，有序推进敬老院与卫生院一体化融合发展。支持社会力量参与提供基本养老服务。依托家纺服装、生物医药等产业基础大力发展适老化家居产品、老年常见疾病基因检测、特医食品等银发经济相关领域。积极开发老年人力资源，稳妥实施渐进式延迟法定退休年龄政策，开辟“银龄课堂”，探索建立“银发智库”。到2030年，新增护理型床位500张以上。</w:t>
      </w:r>
    </w:p>
    <w:p w14:paraId="101549D3">
      <w:pPr>
        <w:pStyle w:val="3"/>
        <w:rPr>
          <w:rFonts w:ascii="Times New Roman" w:hAnsi="Times New Roman" w:cs="Times New Roman"/>
        </w:rPr>
      </w:pPr>
      <w:bookmarkStart w:id="841" w:name="_Toc20594"/>
      <w:bookmarkStart w:id="842" w:name="_Toc5287"/>
      <w:bookmarkStart w:id="843" w:name="_Toc32742"/>
      <w:bookmarkStart w:id="844" w:name="_Toc187"/>
      <w:bookmarkStart w:id="845" w:name="_Toc6415"/>
      <w:bookmarkStart w:id="846" w:name="_Toc12148"/>
      <w:bookmarkStart w:id="847" w:name="_Toc15290"/>
      <w:bookmarkStart w:id="848" w:name="_Toc25734"/>
      <w:bookmarkStart w:id="849" w:name="_Toc7981"/>
      <w:bookmarkStart w:id="850" w:name="_Toc18602"/>
      <w:bookmarkStart w:id="851" w:name="_Toc18796"/>
      <w:bookmarkStart w:id="852" w:name="_Toc21361"/>
      <w:bookmarkStart w:id="853" w:name="_Toc19339"/>
      <w:bookmarkStart w:id="854" w:name="_Toc5428"/>
      <w:r>
        <w:rPr>
          <w:rFonts w:ascii="Times New Roman" w:hAnsi="Times New Roman" w:cs="Times New Roman"/>
        </w:rPr>
        <w:t>第二节  建设人才友好型、青年发展型城市</w:t>
      </w:r>
      <w:bookmarkEnd w:id="841"/>
      <w:bookmarkEnd w:id="842"/>
      <w:bookmarkEnd w:id="843"/>
      <w:bookmarkEnd w:id="844"/>
      <w:bookmarkEnd w:id="845"/>
      <w:bookmarkEnd w:id="846"/>
      <w:bookmarkEnd w:id="847"/>
      <w:bookmarkEnd w:id="848"/>
      <w:bookmarkEnd w:id="849"/>
      <w:bookmarkEnd w:id="850"/>
      <w:bookmarkEnd w:id="851"/>
      <w:bookmarkEnd w:id="852"/>
      <w:bookmarkEnd w:id="853"/>
      <w:bookmarkEnd w:id="854"/>
    </w:p>
    <w:p w14:paraId="1BBDDDCD">
      <w:pPr>
        <w:bidi w:val="0"/>
        <w:rPr>
          <w:lang w:eastAsia="zh-CN"/>
        </w:rPr>
      </w:pPr>
      <w:r>
        <w:rPr>
          <w:rFonts w:ascii="Times New Roman" w:hAnsi="Times New Roman" w:eastAsia="楷体_GB2312" w:cs="Times New Roman"/>
          <w:sz w:val="32"/>
          <w:szCs w:val="32"/>
          <w:lang w:eastAsia="zh-CN"/>
        </w:rPr>
        <w:t>提升人才服务水平。</w:t>
      </w:r>
      <w:r>
        <w:rPr>
          <w:lang w:eastAsia="zh-CN"/>
        </w:rPr>
        <w:t>集成优化“东洲英才”一卡通服务，完善高层次人才职称评审、户籍办理、医疗保健等绿色通道服务事项，加强行政服务、交通出行、消费折扣等专属服务，探索</w:t>
      </w:r>
      <w:r>
        <w:rPr>
          <w:rFonts w:hint="eastAsia"/>
          <w:lang w:eastAsia="zh-CN"/>
        </w:rPr>
        <w:t>建设</w:t>
      </w:r>
      <w:r>
        <w:rPr>
          <w:lang w:eastAsia="zh-CN"/>
        </w:rPr>
        <w:t>“线上+线下”</w:t>
      </w:r>
      <w:r>
        <w:rPr>
          <w:rFonts w:hint="eastAsia"/>
          <w:lang w:eastAsia="zh-CN"/>
        </w:rPr>
        <w:t>融合的</w:t>
      </w:r>
      <w:r>
        <w:rPr>
          <w:lang w:eastAsia="zh-CN"/>
        </w:rPr>
        <w:t>“青年人才服务中心”。鼓励金融机构组建“人才金融顾问团”，设立“人才银行”，开发“人才保险”。推出“东洲青年码”，实现服务权益“一码通行”。建设一批青年人才公寓和社区，优化“青年人才驿站”布局，力争面向区镇实现点位全域覆盖。</w:t>
      </w:r>
    </w:p>
    <w:p w14:paraId="5DF2B326">
      <w:pPr>
        <w:bidi w:val="0"/>
        <w:rPr>
          <w:lang w:eastAsia="zh-CN"/>
        </w:rPr>
      </w:pPr>
      <w:r>
        <w:rPr>
          <w:rFonts w:ascii="Times New Roman" w:hAnsi="Times New Roman" w:eastAsia="楷体_GB2312" w:cs="Times New Roman"/>
          <w:sz w:val="32"/>
          <w:szCs w:val="32"/>
          <w:lang w:eastAsia="zh-CN"/>
        </w:rPr>
        <w:t>打造青年畅享之城。</w:t>
      </w:r>
      <w:r>
        <w:rPr>
          <w:lang w:eastAsia="zh-CN"/>
        </w:rPr>
        <w:t>实施海门青年文化焕新工程，举办“珂缔缘杯”国际校园足球邀请赛、“江苏大学生电竞联赛”等一批高品质青年体育赛事。开展“东洲青播”培养计划，孵化一批本土青年KOL，建立“城市体验官”动态聘任制，发放“东洲探索卡”，提升青年友好城市口碑。导入年轻化消费业态，打造一批青年活力街区、园区、社区、楼宇，发放青年消费券。定期举办“缘·东洲愿”等青年交友活动，打造若干青年交友基地。深化“社区青年干事”项目，探索建立“青年城市观察员”制度，发挥青年在创业富民、文化传播、基层治理的创新活力。</w:t>
      </w:r>
    </w:p>
    <w:p w14:paraId="42CFA30E">
      <w:pPr>
        <w:pStyle w:val="3"/>
        <w:rPr>
          <w:rFonts w:ascii="Times New Roman" w:hAnsi="Times New Roman" w:cs="Times New Roman"/>
        </w:rPr>
      </w:pPr>
      <w:bookmarkStart w:id="855" w:name="_Toc7340"/>
      <w:bookmarkStart w:id="856" w:name="_Toc6084"/>
      <w:bookmarkStart w:id="857" w:name="_Toc2534"/>
      <w:bookmarkStart w:id="858" w:name="_Toc2759"/>
      <w:bookmarkStart w:id="859" w:name="_Toc17412"/>
      <w:bookmarkStart w:id="860" w:name="_Toc5610"/>
      <w:bookmarkStart w:id="861" w:name="_Toc5926"/>
      <w:bookmarkStart w:id="862" w:name="_Toc12767"/>
      <w:bookmarkStart w:id="863" w:name="_Toc20991"/>
      <w:bookmarkStart w:id="864" w:name="_Toc6703"/>
      <w:bookmarkStart w:id="865" w:name="_Toc10842"/>
      <w:bookmarkStart w:id="866" w:name="_Toc16604"/>
      <w:bookmarkStart w:id="867" w:name="_Toc4964"/>
      <w:bookmarkStart w:id="868" w:name="_Toc18190"/>
      <w:r>
        <w:rPr>
          <w:rFonts w:ascii="Times New Roman" w:hAnsi="Times New Roman" w:cs="Times New Roman"/>
        </w:rPr>
        <w:t>第三节  推动重点群体共享发展</w:t>
      </w:r>
      <w:bookmarkEnd w:id="855"/>
      <w:bookmarkEnd w:id="856"/>
      <w:bookmarkEnd w:id="857"/>
      <w:bookmarkEnd w:id="858"/>
      <w:bookmarkEnd w:id="859"/>
      <w:bookmarkEnd w:id="860"/>
      <w:bookmarkEnd w:id="861"/>
      <w:bookmarkEnd w:id="862"/>
      <w:bookmarkEnd w:id="863"/>
      <w:bookmarkEnd w:id="864"/>
      <w:bookmarkEnd w:id="865"/>
      <w:bookmarkEnd w:id="866"/>
      <w:bookmarkEnd w:id="867"/>
      <w:bookmarkEnd w:id="868"/>
    </w:p>
    <w:p w14:paraId="32AF194B">
      <w:pPr>
        <w:bidi w:val="0"/>
      </w:pPr>
      <w:r>
        <w:rPr>
          <w:rFonts w:eastAsia="楷体_GB2312" w:cs="Times New Roman"/>
        </w:rPr>
        <w:t>强化妇女儿童关爱与权益保障。</w:t>
      </w:r>
      <w:r>
        <w:t>深化儿童友好城市建设，完善留守、困境儿童“一人一档”，建好区、镇、村三级未成年人保护阵地，建设未成年人保护数据平台，设立儿童类社会组织发展专项基金，举办“儿童成长关爱节”等系列活动，持续打响“Hi，妈妈”结对关爱品牌。增强妇女发展能力，持续提升科技创新巾帼行动、就业创业巾帼行动、乡村振兴巾帼行动质效。</w:t>
      </w:r>
    </w:p>
    <w:p w14:paraId="026A177C">
      <w:pPr>
        <w:rPr>
          <w:rFonts w:cs="Times New Roman"/>
        </w:rPr>
      </w:pPr>
      <w:r>
        <w:rPr>
          <w:rFonts w:eastAsia="楷体_GB2312" w:cs="Times New Roman"/>
        </w:rPr>
        <w:t>完善残疾人关爱服务体系。</w:t>
      </w:r>
      <w:r>
        <w:rPr>
          <w:rFonts w:cs="Times New Roman"/>
        </w:rPr>
        <w:t>建立完善残疾人康复服务体系，落实县域康复服务全类别覆盖机制，加强重度残疾人托养照护服务。健全“普惠+特惠”残疾人社会保障制度。强化“订单式+点单式”残疾人就业培训，有针对性开展手工制作、盲人按摩、电子商务、农村实用技术等技能培训。推进无障碍环境建设。</w:t>
      </w:r>
    </w:p>
    <w:p w14:paraId="3B139D3B">
      <w:pPr>
        <w:rPr>
          <w:rFonts w:cs="Times New Roman"/>
        </w:rPr>
      </w:pPr>
      <w:r>
        <w:rPr>
          <w:rFonts w:eastAsia="楷体_GB2312" w:cs="Times New Roman"/>
        </w:rPr>
        <w:t>强化退役军人服务保障。</w:t>
      </w:r>
      <w:r>
        <w:rPr>
          <w:rFonts w:cs="Times New Roman"/>
        </w:rPr>
        <w:t>完善双拥工作机制，持续打造“东洲周”双拥品牌。坚持“阳光安置”原则，更好推动退役军人就业安置人岗相适、人事相宜。强化退役军人医疗健康、心理关爱、文化娱乐等系列服务，升级优待证服务功能，实施“携爱前行·致敬老兵”公益项目。精准开展关爱帮扶，实施困难退役军人“滴灌计划”，推动“守护光明”“听障关爱”“圆梦助学”等项目落地见效。提升退役军人服务中心（站）建设管理水平和服务质量，支持有条件的企业、商圈自愿设立服务站。</w:t>
      </w:r>
    </w:p>
    <w:p w14:paraId="7A83A837">
      <w:pPr>
        <w:pStyle w:val="3"/>
        <w:rPr>
          <w:rFonts w:ascii="Times New Roman" w:hAnsi="Times New Roman" w:cs="Times New Roman"/>
        </w:rPr>
      </w:pPr>
      <w:bookmarkStart w:id="869" w:name="_Toc16002"/>
      <w:bookmarkStart w:id="870" w:name="_Toc5583"/>
      <w:bookmarkStart w:id="871" w:name="_Toc11948"/>
      <w:bookmarkStart w:id="872" w:name="_Toc2735"/>
      <w:bookmarkStart w:id="873" w:name="_Toc6018"/>
      <w:bookmarkStart w:id="874" w:name="_Toc22586"/>
      <w:bookmarkStart w:id="875" w:name="_Toc32425"/>
      <w:bookmarkStart w:id="876" w:name="_Toc22663"/>
      <w:bookmarkStart w:id="877" w:name="_Toc30823"/>
      <w:bookmarkStart w:id="878" w:name="_Toc2810"/>
      <w:bookmarkStart w:id="879" w:name="_Toc18366"/>
      <w:bookmarkStart w:id="880" w:name="_Toc23350"/>
      <w:bookmarkStart w:id="881" w:name="_Toc15818"/>
      <w:bookmarkStart w:id="882" w:name="_Toc30519"/>
      <w:r>
        <w:rPr>
          <w:rFonts w:ascii="Times New Roman" w:hAnsi="Times New Roman" w:cs="Times New Roman"/>
        </w:rPr>
        <w:t>第四节  加强人口精准服务管理</w:t>
      </w:r>
      <w:bookmarkEnd w:id="869"/>
      <w:bookmarkEnd w:id="870"/>
      <w:bookmarkEnd w:id="871"/>
      <w:bookmarkEnd w:id="872"/>
      <w:bookmarkEnd w:id="873"/>
      <w:bookmarkEnd w:id="874"/>
      <w:bookmarkEnd w:id="875"/>
      <w:bookmarkEnd w:id="876"/>
      <w:bookmarkEnd w:id="877"/>
      <w:bookmarkEnd w:id="878"/>
      <w:bookmarkEnd w:id="879"/>
      <w:bookmarkEnd w:id="880"/>
      <w:bookmarkEnd w:id="881"/>
      <w:bookmarkEnd w:id="882"/>
    </w:p>
    <w:p w14:paraId="27D93746">
      <w:pPr>
        <w:rPr>
          <w:rFonts w:cs="Times New Roman"/>
        </w:rPr>
      </w:pPr>
      <w:r>
        <w:rPr>
          <w:rFonts w:eastAsia="楷体_GB2312" w:cs="Times New Roman"/>
          <w:szCs w:val="32"/>
        </w:rPr>
        <w:t>创新人口服务管理制度</w:t>
      </w:r>
      <w:r>
        <w:rPr>
          <w:rFonts w:cs="Times New Roman"/>
        </w:rPr>
        <w:t>。完善人口吸引政策，推动人口政策与产业、就业、民生等深度融合、协同发力，巩固人口净流入趋势。支持家庭化迁移，建立健全家庭发展政策和服务体系。通过对口帮扶、劳务协作等方式，着力拓展中西部人口腹地。强化人口登记、信息管理，完善人口动态监测和统计发布制度。落实好南通市城镇地区落户“零门槛”政策，做好户籍办理“跨省通办”“全国通办”业务。全面实施居住证申领“全程网办”。</w:t>
      </w:r>
    </w:p>
    <w:p w14:paraId="532A447B">
      <w:pPr>
        <w:rPr>
          <w:rFonts w:cs="Times New Roman"/>
        </w:rPr>
        <w:sectPr>
          <w:pgSz w:w="11906" w:h="16838"/>
          <w:pgMar w:top="1814" w:right="1531" w:bottom="1984" w:left="1531" w:header="510" w:footer="1474" w:gutter="0"/>
          <w:cols w:space="0" w:num="1"/>
          <w:docGrid w:type="lines" w:linePitch="312" w:charSpace="0"/>
        </w:sectPr>
      </w:pPr>
      <w:r>
        <w:rPr>
          <w:rFonts w:eastAsia="楷体_GB2312" w:cs="Times New Roman"/>
          <w:szCs w:val="32"/>
        </w:rPr>
        <w:t>增强基本公共服务均衡性可及性。</w:t>
      </w:r>
      <w:r>
        <w:rPr>
          <w:rFonts w:cs="Times New Roman"/>
        </w:rPr>
        <w:t>建立与人口结构变化相适应的公共服务供给体系，全面推进公共服务规划建设、资源配置、人才调配城乡一体化，提高资源配置效率和供需匹配度，推动更多公共服务向基层下沉、向农村覆盖、向生活困难群众倾斜。建立健全存量公共服务设施统筹利用机制，降低基层公共服务设施闲置率。逐步增加常住人口可享有的基本公共服务项目。扎实推进年度民生实事项目建设。拓展社会力量参与公共服务供给渠道。</w:t>
      </w:r>
    </w:p>
    <w:p w14:paraId="17920A89">
      <w:pPr>
        <w:pStyle w:val="2"/>
        <w:rPr>
          <w:rFonts w:ascii="Times New Roman" w:hAnsi="Times New Roman" w:cs="Times New Roman"/>
          <w:spacing w:val="-6"/>
        </w:rPr>
      </w:pPr>
      <w:bookmarkStart w:id="883" w:name="_Toc10813"/>
      <w:bookmarkStart w:id="884" w:name="_Toc32170"/>
      <w:bookmarkStart w:id="885" w:name="_Toc31961"/>
      <w:bookmarkStart w:id="886" w:name="_Toc6331"/>
      <w:bookmarkStart w:id="887" w:name="_Toc23670"/>
      <w:bookmarkStart w:id="888" w:name="_Toc22874"/>
      <w:bookmarkStart w:id="889" w:name="_Toc21126"/>
      <w:r>
        <w:rPr>
          <w:rFonts w:ascii="Times New Roman" w:hAnsi="Times New Roman" w:cs="Times New Roman"/>
          <w:spacing w:val="-6"/>
        </w:rPr>
        <w:t>第十四章  加快绿色低碳转型  打造江海联动和谐共生美丽家园</w:t>
      </w:r>
      <w:bookmarkEnd w:id="883"/>
      <w:bookmarkEnd w:id="884"/>
      <w:bookmarkEnd w:id="885"/>
      <w:bookmarkEnd w:id="886"/>
      <w:bookmarkEnd w:id="887"/>
      <w:bookmarkEnd w:id="888"/>
      <w:bookmarkEnd w:id="889"/>
    </w:p>
    <w:p w14:paraId="58AAFA2B">
      <w:pPr>
        <w:rPr>
          <w:rFonts w:cs="Times New Roman"/>
        </w:rPr>
      </w:pPr>
      <w:r>
        <w:rPr>
          <w:rFonts w:cs="Times New Roman"/>
        </w:rPr>
        <w:t>坚定不移走生态优先、节约集约、绿色低碳发展道路，深入实施生态文明建设专项行动，协同推进降碳、减污、扩绿、增长，持续深入推进污染防治攻坚，改善生态环境质量，守牢出江入海生态屏障，基本形成绿色生产方式和生活方式，打造展示美丽南通建设成果的“海门窗口”。</w:t>
      </w:r>
    </w:p>
    <w:p w14:paraId="324C19A4">
      <w:pPr>
        <w:pStyle w:val="3"/>
        <w:rPr>
          <w:rFonts w:ascii="Times New Roman" w:hAnsi="Times New Roman" w:eastAsia="楷体_GB2312" w:cs="Times New Roman"/>
        </w:rPr>
      </w:pPr>
      <w:bookmarkStart w:id="890" w:name="_Toc22751"/>
      <w:bookmarkStart w:id="891" w:name="_Toc4007"/>
      <w:bookmarkStart w:id="892" w:name="_Toc16904"/>
      <w:bookmarkStart w:id="893" w:name="_Toc3297"/>
      <w:bookmarkStart w:id="894" w:name="_Toc7987"/>
      <w:bookmarkStart w:id="895" w:name="_Toc15175"/>
      <w:bookmarkStart w:id="896" w:name="_Toc27011"/>
      <w:r>
        <w:rPr>
          <w:rFonts w:ascii="Times New Roman" w:hAnsi="Times New Roman" w:cs="Times New Roman"/>
        </w:rPr>
        <w:t xml:space="preserve">第一节  </w:t>
      </w:r>
      <w:bookmarkEnd w:id="890"/>
      <w:bookmarkEnd w:id="891"/>
      <w:bookmarkEnd w:id="892"/>
      <w:bookmarkEnd w:id="893"/>
      <w:bookmarkEnd w:id="894"/>
      <w:r>
        <w:rPr>
          <w:rFonts w:ascii="Times New Roman" w:hAnsi="Times New Roman" w:cs="Times New Roman"/>
        </w:rPr>
        <w:t>打造最美江海生态空间</w:t>
      </w:r>
      <w:bookmarkEnd w:id="895"/>
      <w:bookmarkEnd w:id="896"/>
    </w:p>
    <w:p w14:paraId="2C807023">
      <w:pPr>
        <w:rPr>
          <w:rFonts w:cs="Times New Roman"/>
        </w:rPr>
      </w:pPr>
      <w:r>
        <w:rPr>
          <w:rFonts w:eastAsia="楷体_GB2312" w:cs="Times New Roman"/>
        </w:rPr>
        <w:t>优化生态保护格局。</w:t>
      </w:r>
      <w:r>
        <w:rPr>
          <w:rFonts w:cs="Times New Roman"/>
        </w:rPr>
        <w:t>衔接南通市域生态空间结构，以保障生态安全和生态服务功能为目标，构建“两带十廊”生态空间格局。严格落实长江大保护战略部署，强化沿江生态保育带功能管控，实施系统性生态修复，保障生态岸线比重，维护长江生态屏障功能。推动沿海生态保育带贯彻沿海开发保护相关要求，强化人工岸段污染防治和必要的绿化缓冲，保障自然岸线比重，维护海岸带生态屏障功能。推动十条生态廊道水岸同治，强化入河污染防治，恢复水生生态系统，完善防护林带，提升滨水景观，构建高品质水绿复合廊道。</w:t>
      </w:r>
    </w:p>
    <w:tbl>
      <w:tblPr>
        <w:tblStyle w:val="2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834"/>
      </w:tblGrid>
      <w:tr w14:paraId="634A8F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834" w:type="dxa"/>
          </w:tcPr>
          <w:p w14:paraId="565AB419">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eastAsia="黑体" w:cs="Times New Roman"/>
                <w:sz w:val="24"/>
              </w:rPr>
            </w:pPr>
            <w:r>
              <w:rPr>
                <w:rFonts w:eastAsia="黑体" w:cs="Times New Roman"/>
                <w:sz w:val="24"/>
              </w:rPr>
              <w:t>专栏25  “两带十廊”生态空间格局</w:t>
            </w:r>
          </w:p>
          <w:p w14:paraId="70BC0490">
            <w:pPr>
              <w:keepNext w:val="0"/>
              <w:keepLines w:val="0"/>
              <w:pageBreakBefore w:val="0"/>
              <w:widowControl w:val="0"/>
              <w:kinsoku/>
              <w:wordWrap/>
              <w:overflowPunct/>
              <w:topLinePunct w:val="0"/>
              <w:autoSpaceDE/>
              <w:autoSpaceDN/>
              <w:bidi w:val="0"/>
              <w:adjustRightInd/>
              <w:snapToGrid/>
              <w:spacing w:line="400" w:lineRule="exact"/>
              <w:ind w:firstLine="482"/>
              <w:textAlignment w:val="auto"/>
              <w:rPr>
                <w:rFonts w:cs="Times New Roman"/>
                <w:sz w:val="24"/>
                <w:szCs w:val="21"/>
              </w:rPr>
            </w:pPr>
            <w:r>
              <w:rPr>
                <w:rFonts w:cs="Times New Roman"/>
                <w:b/>
                <w:bCs/>
                <w:sz w:val="24"/>
                <w:szCs w:val="21"/>
              </w:rPr>
              <w:t>“两带”。</w:t>
            </w:r>
            <w:r>
              <w:rPr>
                <w:rFonts w:eastAsia="楷体_GB2312" w:cs="Times New Roman"/>
                <w:sz w:val="24"/>
                <w:szCs w:val="21"/>
              </w:rPr>
              <w:t>沿江生态保育带。</w:t>
            </w:r>
            <w:r>
              <w:rPr>
                <w:rFonts w:cs="Times New Roman"/>
                <w:sz w:val="24"/>
                <w:szCs w:val="21"/>
              </w:rPr>
              <w:t>主要由长江水面、沿江滩涂湿地、林草、水域和周边农田空间构成。</w:t>
            </w:r>
            <w:r>
              <w:rPr>
                <w:rFonts w:eastAsia="楷体_GB2312" w:cs="Times New Roman"/>
                <w:sz w:val="24"/>
                <w:szCs w:val="21"/>
              </w:rPr>
              <w:t>沿海生态保育带。</w:t>
            </w:r>
            <w:r>
              <w:rPr>
                <w:rFonts w:cs="Times New Roman"/>
                <w:sz w:val="24"/>
                <w:szCs w:val="21"/>
              </w:rPr>
              <w:t>主要由近海海域、沿海滩涂湿地和堤内林草、水域和周边农田空间构成。</w:t>
            </w:r>
          </w:p>
          <w:p w14:paraId="7807EE36">
            <w:pPr>
              <w:keepNext w:val="0"/>
              <w:keepLines w:val="0"/>
              <w:pageBreakBefore w:val="0"/>
              <w:widowControl w:val="0"/>
              <w:kinsoku/>
              <w:wordWrap/>
              <w:overflowPunct/>
              <w:topLinePunct w:val="0"/>
              <w:autoSpaceDE/>
              <w:autoSpaceDN/>
              <w:bidi w:val="0"/>
              <w:adjustRightInd/>
              <w:snapToGrid/>
              <w:spacing w:line="400" w:lineRule="exact"/>
              <w:ind w:firstLine="482"/>
              <w:textAlignment w:val="auto"/>
              <w:rPr>
                <w:rFonts w:cs="Times New Roman"/>
                <w:sz w:val="24"/>
                <w:szCs w:val="21"/>
              </w:rPr>
            </w:pPr>
            <w:r>
              <w:rPr>
                <w:rFonts w:cs="Times New Roman"/>
                <w:b/>
                <w:bCs/>
                <w:sz w:val="24"/>
                <w:szCs w:val="21"/>
              </w:rPr>
              <w:t>“十廊”。</w:t>
            </w:r>
            <w:r>
              <w:rPr>
                <w:rFonts w:cs="Times New Roman"/>
                <w:sz w:val="24"/>
                <w:szCs w:val="21"/>
              </w:rPr>
              <w:t>依托通吕运河、老运河、通启运河和海门河四条东西横向河道以及浒通河、圩角河、青龙河、三余竖河</w:t>
            </w:r>
            <w:r>
              <w:rPr>
                <w:rFonts w:hint="eastAsia" w:cs="Times New Roman"/>
                <w:sz w:val="24"/>
                <w:szCs w:val="21"/>
                <w:lang w:eastAsia="zh-CN"/>
              </w:rPr>
              <w:t>—</w:t>
            </w:r>
            <w:r>
              <w:rPr>
                <w:rFonts w:cs="Times New Roman"/>
                <w:sz w:val="24"/>
                <w:szCs w:val="21"/>
              </w:rPr>
              <w:t>大洪河、大新河、黄家港</w:t>
            </w:r>
            <w:r>
              <w:rPr>
                <w:rFonts w:hint="eastAsia" w:cs="Times New Roman"/>
                <w:sz w:val="24"/>
                <w:szCs w:val="21"/>
                <w:lang w:eastAsia="zh-CN"/>
              </w:rPr>
              <w:t>—</w:t>
            </w:r>
            <w:r>
              <w:rPr>
                <w:rFonts w:cs="Times New Roman"/>
                <w:sz w:val="24"/>
                <w:szCs w:val="21"/>
              </w:rPr>
              <w:t>灵甸河六条南北纵向河道建设的蓝绿复合生态廊道。</w:t>
            </w:r>
          </w:p>
        </w:tc>
      </w:tr>
    </w:tbl>
    <w:p w14:paraId="3E5D80F8">
      <w:pPr>
        <w:rPr>
          <w:rFonts w:eastAsia="楷体_GB2312" w:cs="Times New Roman"/>
        </w:rPr>
      </w:pPr>
    </w:p>
    <w:p w14:paraId="24296EE1">
      <w:pPr>
        <w:rPr>
          <w:rFonts w:cs="Times New Roman"/>
        </w:rPr>
      </w:pPr>
      <w:r>
        <w:rPr>
          <w:rFonts w:eastAsia="楷体_GB2312" w:cs="Times New Roman"/>
        </w:rPr>
        <w:t>守护出江入海生态屏障。</w:t>
      </w:r>
      <w:r>
        <w:rPr>
          <w:rFonts w:cs="Times New Roman"/>
        </w:rPr>
        <w:t>严格生态红线和生态空间管控区域监管，开展生态空间管控区域评估及新一轮管控方案编制，科学制定准入清单。筑牢滨海生态系统屏障，开展滨海湿地、河口等典型海洋生态系统修复，健全海洋垃圾常态化清理工作机制，加强海岛生态建设，提升海洋生态系统质量和稳定性。加强“绿盾”自然保护地监管，深化蛎岈山国家级海洋公园自然保护地保护，开展牡蛎礁生态保护与修复。持续推进长江生态保护修复，落实长江十年禁渔要求，确保完成长江水生态保护目标。加强生态安全缓冲区建设，实施东洲水处理生态安全缓冲区等建设工程。</w:t>
      </w:r>
    </w:p>
    <w:p w14:paraId="648F7DD6">
      <w:pPr>
        <w:rPr>
          <w:rFonts w:cs="Times New Roman"/>
        </w:rPr>
      </w:pPr>
      <w:r>
        <w:rPr>
          <w:rFonts w:eastAsia="楷体_GB2312" w:cs="Times New Roman"/>
        </w:rPr>
        <w:t>推进生态系统保护修复。</w:t>
      </w:r>
      <w:r>
        <w:rPr>
          <w:rFonts w:cs="Times New Roman"/>
        </w:rPr>
        <w:t>积极推进海岸线综合治理和受损岸线生态修复，统筹流域</w:t>
      </w:r>
      <w:r>
        <w:rPr>
          <w:rFonts w:hint="eastAsia" w:cs="Times New Roman"/>
          <w:lang w:eastAsia="zh-CN"/>
        </w:rPr>
        <w:t>—</w:t>
      </w:r>
      <w:r>
        <w:rPr>
          <w:rFonts w:cs="Times New Roman"/>
        </w:rPr>
        <w:t>河口</w:t>
      </w:r>
      <w:r>
        <w:rPr>
          <w:rFonts w:hint="eastAsia" w:cs="Times New Roman"/>
          <w:lang w:eastAsia="zh-CN"/>
        </w:rPr>
        <w:t>—</w:t>
      </w:r>
      <w:r>
        <w:rPr>
          <w:rFonts w:cs="Times New Roman"/>
        </w:rPr>
        <w:t>近岸海域污染治理，持续改善海域生态质量，推动实现沿海自然岸线保有率不降低。加强湿地保护修复，完善通吕运河、通启运河等重要骨干河道沿线的绿色生态屏障，有序开展湿地公园和湿地保护小区建设。科学推进国土绿化，因地制宜建设农田林网，依法合规建设铁路、公路、河道沿线林带，推动沿江生态绿地串点成线，推动东布洲长滩公园、青龙港、謇公湖</w:t>
      </w:r>
      <w:r>
        <w:rPr>
          <w:rFonts w:hint="eastAsia" w:cs="Times New Roman"/>
          <w:lang w:eastAsia="zh-CN"/>
        </w:rPr>
        <w:t>—</w:t>
      </w:r>
      <w:r>
        <w:rPr>
          <w:rFonts w:cs="Times New Roman"/>
        </w:rPr>
        <w:t>南布洲区域联动发展。开展全区生物多样性本底调查，依托蛎岈山国家重要栖息地、謇公湖等生态节点，完善全域生物多样性观测与保护网络，守护江海独特生态基因。</w:t>
      </w:r>
    </w:p>
    <w:p w14:paraId="6FDB5B3F">
      <w:pPr>
        <w:pStyle w:val="3"/>
        <w:rPr>
          <w:rFonts w:ascii="Times New Roman" w:hAnsi="Times New Roman" w:cs="Times New Roman"/>
        </w:rPr>
      </w:pPr>
      <w:bookmarkStart w:id="897" w:name="_Toc28562"/>
      <w:bookmarkStart w:id="898" w:name="_Toc32589"/>
      <w:bookmarkStart w:id="899" w:name="_Toc29931"/>
      <w:bookmarkStart w:id="900" w:name="_Toc30741"/>
      <w:bookmarkStart w:id="901" w:name="_Toc10232"/>
      <w:bookmarkStart w:id="902" w:name="_Toc27173"/>
      <w:bookmarkStart w:id="903" w:name="_Toc32060"/>
      <w:r>
        <w:rPr>
          <w:rFonts w:ascii="Times New Roman" w:hAnsi="Times New Roman" w:cs="Times New Roman"/>
        </w:rPr>
        <w:t>第二节  提供“碧水蓝天净土”优质环境</w:t>
      </w:r>
      <w:bookmarkEnd w:id="897"/>
      <w:bookmarkEnd w:id="898"/>
      <w:bookmarkEnd w:id="899"/>
      <w:bookmarkEnd w:id="900"/>
      <w:bookmarkEnd w:id="901"/>
      <w:bookmarkEnd w:id="902"/>
      <w:bookmarkEnd w:id="903"/>
    </w:p>
    <w:p w14:paraId="4D487E4A">
      <w:pPr>
        <w:rPr>
          <w:rFonts w:cs="Times New Roman"/>
        </w:rPr>
      </w:pPr>
      <w:r>
        <w:rPr>
          <w:rFonts w:eastAsia="楷体_GB2312" w:cs="Times New Roman"/>
        </w:rPr>
        <w:t>推动大气质量持续向好。</w:t>
      </w:r>
      <w:r>
        <w:rPr>
          <w:rFonts w:cs="Times New Roman"/>
        </w:rPr>
        <w:t>实施精准治气行动，聚焦PM</w:t>
      </w:r>
      <w:r>
        <w:rPr>
          <w:rFonts w:cs="Times New Roman"/>
          <w:vertAlign w:val="subscript"/>
        </w:rPr>
        <w:t>2.5</w:t>
      </w:r>
      <w:r>
        <w:rPr>
          <w:rFonts w:cs="Times New Roman"/>
        </w:rPr>
        <w:t>和臭氧协同控制，完善区域大气环境监测网络体系，持续推进挥发性有机物综合治理。强化餐饮油烟、建筑工地等重点领域专项治理，加强家具制造、汽车维修、工业涂装等重点行业治理，推进重点企业超低排放改造，持续培育源头治理示范企业。推广应用清洁能源车船，推动高排放的柴油货车报废更新，淘汰国二及以下排放标准非道路机械。完善港口码头岸电设施建设，推进船舶受电设施改造。到2030年，力争新增重污染天气重点行业绩效AB级、引领性企业3家以上。</w:t>
      </w:r>
    </w:p>
    <w:p w14:paraId="7121C734">
      <w:pPr>
        <w:rPr>
          <w:rFonts w:cs="Times New Roman"/>
        </w:rPr>
      </w:pPr>
      <w:r>
        <w:rPr>
          <w:rFonts w:eastAsia="楷体_GB2312" w:cs="Times New Roman"/>
        </w:rPr>
        <w:t>加强水污染治理。</w:t>
      </w:r>
      <w:r>
        <w:rPr>
          <w:rFonts w:cs="Times New Roman"/>
        </w:rPr>
        <w:t>深化“一河一策”治理模式，实施流域治水行动，推进通吕运河、通启运河总氮整治工程，加大养殖污染整治力度。深入推进入海污染源头治理，强化入海河流总氮污染治理与管控。</w:t>
      </w:r>
      <w:r>
        <w:rPr>
          <w:rFonts w:cs="Times New Roman"/>
          <w:highlight w:val="none"/>
        </w:rPr>
        <w:t>开展</w:t>
      </w:r>
      <w:bookmarkStart w:id="1045" w:name="_GoBack"/>
      <w:r>
        <w:rPr>
          <w:rFonts w:cs="Times New Roman"/>
          <w:highlight w:val="none"/>
        </w:rPr>
        <w:t>国省考</w:t>
      </w:r>
      <w:bookmarkEnd w:id="1045"/>
      <w:r>
        <w:rPr>
          <w:rFonts w:cs="Times New Roman"/>
          <w:highlight w:val="none"/>
        </w:rPr>
        <w:t>断面水质保障预警，加快不稳定断面溯源整治，确保市考以上断面稳定达标。</w:t>
      </w:r>
      <w:r>
        <w:rPr>
          <w:rFonts w:cs="Times New Roman"/>
        </w:rPr>
        <w:t>加强长江饮用水水源保护区建设，强化集中式饮用水水源地和应急水源地保护，确保水质持续达标。加快河湖水系连通，实施活水畅流水系优化工程，增强城市发展“水”动力。协调建设美丽河湖、幸福河湖，系统推进河湖生态复苏，开展通吕运河、通启运河和长江美丽河湖建设。</w:t>
      </w:r>
    </w:p>
    <w:p w14:paraId="37E40C6E">
      <w:pPr>
        <w:bidi w:val="0"/>
      </w:pPr>
      <w:r>
        <w:rPr>
          <w:rFonts w:eastAsia="楷体_GB2312" w:cs="Times New Roman"/>
        </w:rPr>
        <w:t>深化土壤污染源头防控。</w:t>
      </w:r>
      <w:r>
        <w:t>开展土壤污染源头防控行动，加强遗留地块风险管控，强化未污染土壤保护。加强沿江土壤污染风险管控和修复，开展沿江1公里化工企业腾退地块污染专项治理。依法开展“双超双有”重点企业强制性清洁生产审核。扎实推进受污染耕地安全利用和风险管控，推动受污染农用地应查尽查、分阶段应治尽治。推进地下水“一井一策”国考点位监测井达标排查整治，确保地下水环境质量达到国家和省考核要求。到2030年，受污染耕地安全利用率达93%以上。</w:t>
      </w:r>
    </w:p>
    <w:p w14:paraId="42BD9939">
      <w:pPr>
        <w:rPr>
          <w:rFonts w:cs="Times New Roman"/>
        </w:rPr>
      </w:pPr>
      <w:r>
        <w:rPr>
          <w:rFonts w:eastAsia="楷体_GB2312" w:cs="Times New Roman"/>
        </w:rPr>
        <w:t>强化固体废物和新污染物治理。</w:t>
      </w:r>
      <w:r>
        <w:rPr>
          <w:rFonts w:cs="Times New Roman"/>
        </w:rPr>
        <w:t>加强工业固废、农业废弃物、建筑垃圾等无害化处理和资源化利用，强化危废风险防控，加快打造“无废城市”，支持海门开发区创建“无废园区”，鼓励打造“无废工厂”“无废乡村”。实施新污染物治理行动，完善新污染物环境调查追踪制度，强化重点管控新污染物单位标识化管理，推进新污染物协同治理。</w:t>
      </w:r>
    </w:p>
    <w:p w14:paraId="7EAC018F">
      <w:pPr>
        <w:pStyle w:val="3"/>
        <w:rPr>
          <w:rFonts w:ascii="Times New Roman" w:hAnsi="Times New Roman" w:cs="Times New Roman"/>
        </w:rPr>
      </w:pPr>
      <w:bookmarkStart w:id="904" w:name="_Toc1545"/>
      <w:bookmarkStart w:id="905" w:name="_Toc6323"/>
      <w:bookmarkStart w:id="906" w:name="_Toc32169"/>
      <w:bookmarkStart w:id="907" w:name="_Toc6257"/>
      <w:bookmarkStart w:id="908" w:name="_Toc16865"/>
      <w:bookmarkStart w:id="909" w:name="_Toc164"/>
      <w:bookmarkStart w:id="910" w:name="_Toc11891"/>
      <w:r>
        <w:rPr>
          <w:rFonts w:ascii="Times New Roman" w:hAnsi="Times New Roman" w:cs="Times New Roman"/>
        </w:rPr>
        <w:t>第三节  推动绿色低碳全面转型</w:t>
      </w:r>
      <w:bookmarkEnd w:id="904"/>
      <w:bookmarkEnd w:id="905"/>
      <w:bookmarkEnd w:id="906"/>
      <w:bookmarkEnd w:id="907"/>
      <w:bookmarkEnd w:id="908"/>
      <w:bookmarkEnd w:id="909"/>
      <w:bookmarkEnd w:id="910"/>
    </w:p>
    <w:p w14:paraId="27C4D3B2">
      <w:pPr>
        <w:bidi w:val="0"/>
      </w:pPr>
      <w:r>
        <w:rPr>
          <w:rFonts w:eastAsia="楷体_GB2312" w:cs="Times New Roman"/>
        </w:rPr>
        <w:t>稳妥有序推进碳达峰。</w:t>
      </w:r>
      <w:r>
        <w:t>实施碳排放总量和强度双控制度，完善碳排放统计核算体系，落实地方碳考核、行业碳管控、企业碳管理、项目碳评价、产品碳足迹等政策制度，重点支持钢铁、新能源电池等企业开展碳足迹核算和认证。支持省级以上开发园区建设“能碳双控”智慧管理平台、碳达峰碳中和公共服务平台，创建省级以上碳达峰碳中和试点、零碳园区、零碳工厂。完善适应气候变化工作体系。探索建立“碳普惠”等公众参与机制。“十五五”期间，力争建成省级零碳园区1个、零碳工厂2家。</w:t>
      </w:r>
    </w:p>
    <w:p w14:paraId="44FA1A2C">
      <w:pPr>
        <w:bidi w:val="0"/>
        <w:rPr>
          <w:rFonts w:cs="Times New Roman"/>
        </w:rPr>
      </w:pPr>
      <w:r>
        <w:rPr>
          <w:rFonts w:eastAsia="楷体_GB2312" w:cs="Times New Roman"/>
        </w:rPr>
        <w:t>推动生产生活方式绿色转型。</w:t>
      </w:r>
      <w:r>
        <w:rPr>
          <w:rFonts w:cs="Times New Roman"/>
        </w:rPr>
        <w:t>聚焦纺织、船舶海工、</w:t>
      </w:r>
      <w:r>
        <w:rPr>
          <w:rFonts w:hint="eastAsia" w:cs="Times New Roman"/>
        </w:rPr>
        <w:t>新</w:t>
      </w:r>
      <w:r>
        <w:rPr>
          <w:rFonts w:cs="Times New Roman"/>
        </w:rPr>
        <w:t>材料等重点行业，推进全流程清洁化低碳化改造，推广节能低碳和清洁生产技术装备，坚决淘汰落后产能。完善绿色制造梯度培育体系，加大绿色产品供给，培育一批绿色工厂。推动绿色航运发展，鼓励船舶使用新能源和清洁能源动力。大力发展循环经济，加快“工业绿岛”等循环经济基础设施建设，打造绿色精品钢产业资源循环产业链，支持省级开发园区建设特色化循环经济产业园区（集聚区）。发展绿色低碳建筑，提升新建建筑中星级绿色建筑比例。倡导绿色低碳生活理念，开展绿色低碳全民行动，扩大绿色消费。到2030年，创建省级及以上绿色工厂15家。</w:t>
      </w:r>
    </w:p>
    <w:p w14:paraId="49CAE0E7">
      <w:pPr>
        <w:rPr>
          <w:rFonts w:cs="Times New Roman"/>
        </w:rPr>
      </w:pPr>
      <w:r>
        <w:rPr>
          <w:rFonts w:eastAsia="楷体_GB2312" w:cs="Times New Roman"/>
        </w:rPr>
        <w:t>构建清洁低碳能源体系。</w:t>
      </w:r>
      <w:r>
        <w:rPr>
          <w:rFonts w:cs="Times New Roman"/>
        </w:rPr>
        <w:t>加快能源保障体系建设，推动天然气管网设施互联互通，推动电源及电网相关工程建设升级，有序推进东洲</w:t>
      </w:r>
      <w:r>
        <w:rPr>
          <w:rFonts w:hint="eastAsia" w:cs="Times New Roman"/>
          <w:lang w:eastAsia="zh-CN"/>
        </w:rPr>
        <w:t>—</w:t>
      </w:r>
      <w:r>
        <w:rPr>
          <w:rFonts w:cs="Times New Roman"/>
        </w:rPr>
        <w:t>新丰500千伏线路、通州湾大煤电500千伏送出工程海门段等项目建设。</w:t>
      </w:r>
      <w:r>
        <w:rPr>
          <w:rFonts w:hint="eastAsia" w:ascii="仿宋_GB2312" w:hAnsi="仿宋_GB2312" w:eastAsia="仿宋_GB2312" w:cs="仿宋_GB2312"/>
          <w:szCs w:val="32"/>
        </w:rPr>
        <w:t>推动煤炭和石油消费达峰，推动煤电改造升</w:t>
      </w:r>
      <w:r>
        <w:rPr>
          <w:rFonts w:hint="eastAsia" w:ascii="方正仿宋_GBK" w:hAnsi="方正仿宋_GBK" w:cs="方正仿宋_GBK"/>
          <w:szCs w:val="32"/>
        </w:rPr>
        <w:t>级。</w:t>
      </w:r>
      <w:r>
        <w:rPr>
          <w:rFonts w:cs="Times New Roman"/>
        </w:rPr>
        <w:t>实施“绿电进海门”“绿电进园区”“绿电进企业”工程，打造绿电直连示范项目，支持企业参与绿电绿证交易。推动分布式光伏、氢能等新能源发展，因地制宜促进光伏发电与农业、交通、建筑等多种产业协同发展。</w:t>
      </w:r>
      <w:r>
        <w:rPr>
          <w:rFonts w:hint="eastAsia" w:cs="Times New Roman"/>
        </w:rPr>
        <w:t>向上</w:t>
      </w:r>
      <w:r>
        <w:rPr>
          <w:rFonts w:cs="Times New Roman"/>
        </w:rPr>
        <w:t>争取设置海上风电登陆点。推动电力物联网、能源大数据平台建设，探索园区级源网荷储一体化项目、多能互补等新模式示范项目建设及应用。到2030年，新能源发电装机规模超150万千瓦。</w:t>
      </w:r>
    </w:p>
    <w:tbl>
      <w:tblPr>
        <w:tblStyle w:val="2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60"/>
      </w:tblGrid>
      <w:tr w14:paraId="1255A1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60" w:type="dxa"/>
          </w:tcPr>
          <w:p w14:paraId="0722CC5F">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eastAsia="黑体" w:cs="Times New Roman"/>
                <w:sz w:val="24"/>
              </w:rPr>
            </w:pPr>
            <w:r>
              <w:rPr>
                <w:rFonts w:eastAsia="黑体" w:cs="Times New Roman"/>
                <w:sz w:val="24"/>
              </w:rPr>
              <w:t>专栏26  能源基础设施重点工程项目</w:t>
            </w:r>
          </w:p>
          <w:p w14:paraId="5D0712CE">
            <w:pPr>
              <w:keepNext w:val="0"/>
              <w:keepLines w:val="0"/>
              <w:pageBreakBefore w:val="0"/>
              <w:widowControl w:val="0"/>
              <w:kinsoku/>
              <w:wordWrap/>
              <w:overflowPunct/>
              <w:topLinePunct w:val="0"/>
              <w:autoSpaceDE/>
              <w:autoSpaceDN/>
              <w:bidi w:val="0"/>
              <w:adjustRightInd/>
              <w:snapToGrid/>
              <w:spacing w:line="400" w:lineRule="exact"/>
              <w:ind w:firstLine="480"/>
              <w:textAlignment w:val="auto"/>
              <w:rPr>
                <w:rFonts w:cs="Times New Roman"/>
                <w:sz w:val="24"/>
                <w:szCs w:val="21"/>
              </w:rPr>
            </w:pPr>
            <w:r>
              <w:rPr>
                <w:rFonts w:eastAsia="楷体_GB2312" w:cs="Times New Roman"/>
                <w:sz w:val="24"/>
                <w:szCs w:val="21"/>
              </w:rPr>
              <w:t>电力：</w:t>
            </w:r>
            <w:r>
              <w:rPr>
                <w:rFonts w:cs="Times New Roman"/>
                <w:sz w:val="24"/>
                <w:szCs w:val="21"/>
              </w:rPr>
              <w:t>蛎岈山变电站工程，东洲</w:t>
            </w:r>
            <w:r>
              <w:rPr>
                <w:rFonts w:hint="eastAsia" w:cs="Times New Roman"/>
                <w:sz w:val="24"/>
                <w:szCs w:val="21"/>
                <w:lang w:eastAsia="zh-CN"/>
              </w:rPr>
              <w:t>—</w:t>
            </w:r>
            <w:r>
              <w:rPr>
                <w:rFonts w:cs="Times New Roman"/>
                <w:sz w:val="24"/>
                <w:szCs w:val="21"/>
              </w:rPr>
              <w:t>新丰500千伏线路、通州湾大煤电500千伏送出工程海门段，新建5座220千伏变电站，农村地区按需增建110千伏变电站。</w:t>
            </w:r>
          </w:p>
          <w:p w14:paraId="73694ECF">
            <w:pPr>
              <w:keepNext w:val="0"/>
              <w:keepLines w:val="0"/>
              <w:pageBreakBefore w:val="0"/>
              <w:widowControl w:val="0"/>
              <w:kinsoku/>
              <w:wordWrap/>
              <w:overflowPunct/>
              <w:topLinePunct w:val="0"/>
              <w:autoSpaceDE/>
              <w:autoSpaceDN/>
              <w:bidi w:val="0"/>
              <w:adjustRightInd/>
              <w:snapToGrid/>
              <w:spacing w:line="400" w:lineRule="exact"/>
              <w:ind w:firstLine="480"/>
              <w:textAlignment w:val="auto"/>
              <w:rPr>
                <w:rFonts w:cs="Times New Roman"/>
                <w:sz w:val="24"/>
                <w:szCs w:val="21"/>
              </w:rPr>
            </w:pPr>
            <w:r>
              <w:rPr>
                <w:rFonts w:eastAsia="楷体_GB2312" w:cs="Times New Roman"/>
                <w:sz w:val="24"/>
                <w:szCs w:val="21"/>
              </w:rPr>
              <w:t>瓶装液化气：</w:t>
            </w:r>
            <w:r>
              <w:rPr>
                <w:rFonts w:cs="Times New Roman"/>
                <w:sz w:val="24"/>
                <w:szCs w:val="21"/>
              </w:rPr>
              <w:t>新建自动化800立方液化气储配站。</w:t>
            </w:r>
          </w:p>
          <w:p w14:paraId="2A016392">
            <w:pPr>
              <w:keepNext w:val="0"/>
              <w:keepLines w:val="0"/>
              <w:pageBreakBefore w:val="0"/>
              <w:widowControl w:val="0"/>
              <w:kinsoku/>
              <w:wordWrap/>
              <w:overflowPunct/>
              <w:topLinePunct w:val="0"/>
              <w:autoSpaceDE/>
              <w:autoSpaceDN/>
              <w:bidi w:val="0"/>
              <w:adjustRightInd/>
              <w:snapToGrid/>
              <w:spacing w:line="400" w:lineRule="exact"/>
              <w:ind w:firstLine="480"/>
              <w:textAlignment w:val="auto"/>
              <w:rPr>
                <w:rFonts w:cs="Times New Roman"/>
              </w:rPr>
            </w:pPr>
            <w:r>
              <w:rPr>
                <w:rFonts w:eastAsia="楷体_GB2312" w:cs="Times New Roman"/>
                <w:sz w:val="24"/>
                <w:szCs w:val="21"/>
              </w:rPr>
              <w:t>光伏</w:t>
            </w:r>
            <w:r>
              <w:rPr>
                <w:rFonts w:cs="Times New Roman"/>
                <w:sz w:val="24"/>
                <w:szCs w:val="21"/>
              </w:rPr>
              <w:t>：海门港经开区渔光互补光伏电站。</w:t>
            </w:r>
          </w:p>
        </w:tc>
      </w:tr>
    </w:tbl>
    <w:p w14:paraId="24C34DD1">
      <w:pPr>
        <w:keepNext w:val="0"/>
        <w:keepLines w:val="0"/>
        <w:pageBreakBefore w:val="0"/>
        <w:widowControl w:val="0"/>
        <w:kinsoku/>
        <w:wordWrap/>
        <w:overflowPunct/>
        <w:topLinePunct w:val="0"/>
        <w:autoSpaceDE/>
        <w:autoSpaceDN/>
        <w:bidi w:val="0"/>
        <w:adjustRightInd/>
        <w:snapToGrid/>
        <w:spacing w:line="240" w:lineRule="exact"/>
        <w:textAlignment w:val="auto"/>
        <w:rPr>
          <w:rFonts w:eastAsia="楷体_GB2312" w:cs="Times New Roman"/>
        </w:rPr>
      </w:pPr>
    </w:p>
    <w:p w14:paraId="7A3471D3">
      <w:pPr>
        <w:rPr>
          <w:rFonts w:cs="Times New Roman"/>
        </w:rPr>
      </w:pPr>
      <w:r>
        <w:rPr>
          <w:rFonts w:eastAsia="楷体_GB2312" w:cs="Times New Roman"/>
        </w:rPr>
        <w:t>加强资源高效利用。</w:t>
      </w:r>
      <w:r>
        <w:rPr>
          <w:rFonts w:cs="Times New Roman"/>
        </w:rPr>
        <w:t>全面提升能源资源利用效率和产出效益，严格控制煤炭消费总量，提升煤炭利用效率，深化制造业极致能效行动，“一企一策”编制节能降碳改造方案，培育一批能效领跑者企业。通过产业更新、综合整治等多种模式盘活存量低效用地，推动低效用地再开发从单宗盘活向片区综合开发转变，科学推进化工腾退地块再利用，鼓励社会力量参与盘活存量土地资源，引导企业自主开展自有用地盘活。深入实施节水行动，强化用水总量和强度控制。到2030年，完成低效用地再开发面积5000亩。</w:t>
      </w:r>
    </w:p>
    <w:p w14:paraId="48FFA2B7">
      <w:pPr>
        <w:pStyle w:val="3"/>
        <w:rPr>
          <w:rFonts w:ascii="Times New Roman" w:hAnsi="Times New Roman" w:cs="Times New Roman"/>
        </w:rPr>
      </w:pPr>
      <w:bookmarkStart w:id="911" w:name="_Toc25842"/>
      <w:bookmarkStart w:id="912" w:name="_Toc7960"/>
      <w:bookmarkStart w:id="913" w:name="_Toc17339"/>
      <w:bookmarkStart w:id="914" w:name="_Toc24353"/>
      <w:bookmarkStart w:id="915" w:name="_Toc8601"/>
      <w:bookmarkStart w:id="916" w:name="_Toc31583"/>
      <w:bookmarkStart w:id="917" w:name="_Toc8400"/>
      <w:r>
        <w:rPr>
          <w:rFonts w:ascii="Times New Roman" w:hAnsi="Times New Roman" w:cs="Times New Roman"/>
        </w:rPr>
        <w:t>第四节  深化生态文明制度创新</w:t>
      </w:r>
      <w:bookmarkEnd w:id="911"/>
      <w:bookmarkEnd w:id="912"/>
      <w:bookmarkEnd w:id="913"/>
      <w:bookmarkEnd w:id="914"/>
      <w:bookmarkEnd w:id="915"/>
      <w:bookmarkEnd w:id="916"/>
      <w:bookmarkEnd w:id="917"/>
    </w:p>
    <w:p w14:paraId="12121216">
      <w:pPr>
        <w:rPr>
          <w:rFonts w:cs="Times New Roman"/>
        </w:rPr>
      </w:pPr>
      <w:r>
        <w:rPr>
          <w:rFonts w:eastAsia="楷体_GB2312" w:cs="Times New Roman"/>
        </w:rPr>
        <w:t>提升环境监管执法效能。</w:t>
      </w:r>
      <w:r>
        <w:rPr>
          <w:rFonts w:cs="Times New Roman"/>
        </w:rPr>
        <w:t>加快落实以排污许可制为核心的固定污染源监管制度。以制度创新与技术赋能双轮驱动，推动生态环境治理从“单一监管”向“协同共治”的模式转型。强化治理机制创新，深化环评“告知承诺制”“两证联办”等改革。依托数字绿港等技术载体，推动生态环境监测、执法、管控全流程数字化转型，拓展非现场监管手段与场景，构建环境执法“大数据+指挥中心+综合执法队伍”新模式。强化区域协同共治，围绕危废处置、水气协同治理、新污染物防控等领域深化与崇明岛、启东合作，共筑“崇启海”环境安全屏障。</w:t>
      </w:r>
    </w:p>
    <w:p w14:paraId="5A4C9408">
      <w:pPr>
        <w:rPr>
          <w:rFonts w:cs="Times New Roman"/>
        </w:rPr>
      </w:pPr>
      <w:r>
        <w:rPr>
          <w:rFonts w:eastAsia="楷体_GB2312" w:cs="Times New Roman"/>
        </w:rPr>
        <w:t>打造生态环境多元共治格局。</w:t>
      </w:r>
      <w:r>
        <w:rPr>
          <w:rFonts w:hint="eastAsia" w:ascii="仿宋_GB2312" w:hAnsi="仿宋_GB2312" w:eastAsia="仿宋_GB2312" w:cs="仿宋_GB2312"/>
        </w:rPr>
        <w:t>强化生态文明宣传和教育，</w:t>
      </w:r>
      <w:r>
        <w:rPr>
          <w:rFonts w:cs="Times New Roman"/>
        </w:rPr>
        <w:t>推动市区联动，开展“美丽中国，我是行动者”“游江海·享生态”“净滩行动”等主题实践活动，开展公众科普宣传，建成运行东洲小学长江路校区生态科普基地。扩大生产者责任延伸制度覆盖范围，深入推进企业环保信用评价。推进生态环境志愿服务“进百校下千村入万户”活动，依托“科普基地+环保组织+基层社区”志愿服务联盟，维护好“海小环海小净”生态环保品牌。</w:t>
      </w:r>
    </w:p>
    <w:p w14:paraId="46D7E008">
      <w:pPr>
        <w:rPr>
          <w:rFonts w:cs="Times New Roman"/>
        </w:rPr>
        <w:sectPr>
          <w:pgSz w:w="11906" w:h="16838"/>
          <w:pgMar w:top="1814" w:right="1531" w:bottom="1984" w:left="1531" w:header="510" w:footer="1474" w:gutter="0"/>
          <w:cols w:space="0" w:num="1"/>
          <w:docGrid w:type="lines" w:linePitch="312" w:charSpace="0"/>
        </w:sectPr>
      </w:pPr>
      <w:r>
        <w:rPr>
          <w:rFonts w:eastAsia="楷体_GB2312" w:cs="Times New Roman"/>
        </w:rPr>
        <w:t>创新生态保护和开发机制。</w:t>
      </w:r>
      <w:r>
        <w:rPr>
          <w:rFonts w:cs="Times New Roman"/>
        </w:rPr>
        <w:t>因地制宜探索生态产品价值实现的有效路径，探索多样化的生态产品开发和经营模式，推广宛平村林下经济等发展模式，推动生态产品价值增值。深化生态环境损害赔偿制度改革，探索种树复绿、增殖放流、劳务代偿等多样化替代修复模式。完善排污权交易、绿色金融等市场化激励机制，完善全区污染物减排总量储备调蓄制度。</w:t>
      </w:r>
    </w:p>
    <w:p w14:paraId="62BA66AD">
      <w:pPr>
        <w:pStyle w:val="2"/>
        <w:rPr>
          <w:rFonts w:ascii="Times New Roman" w:hAnsi="Times New Roman" w:cs="Times New Roman"/>
        </w:rPr>
      </w:pPr>
      <w:bookmarkStart w:id="918" w:name="_Toc20071"/>
      <w:bookmarkStart w:id="919" w:name="_Toc3271"/>
      <w:bookmarkStart w:id="920" w:name="_Toc4285"/>
      <w:bookmarkStart w:id="921" w:name="_Toc9617"/>
      <w:bookmarkStart w:id="922" w:name="_Toc30802"/>
      <w:bookmarkStart w:id="923" w:name="_Toc12760"/>
      <w:bookmarkStart w:id="924" w:name="_Toc9598"/>
      <w:bookmarkStart w:id="925" w:name="_Toc9217"/>
      <w:bookmarkStart w:id="926" w:name="_Toc2032"/>
      <w:bookmarkStart w:id="927" w:name="_Toc436"/>
      <w:bookmarkStart w:id="928" w:name="_Toc29228"/>
      <w:bookmarkStart w:id="929" w:name="_Toc1151"/>
      <w:bookmarkStart w:id="930" w:name="_Toc21079"/>
      <w:bookmarkStart w:id="931" w:name="_Toc236"/>
      <w:r>
        <w:rPr>
          <w:rFonts w:ascii="Times New Roman" w:hAnsi="Times New Roman" w:cs="Times New Roman"/>
          <w:spacing w:val="6"/>
        </w:rPr>
        <w:t>第十五章  高效统筹发展和安全  提升治理体系和治理能力现代化水平</w:t>
      </w:r>
      <w:bookmarkEnd w:id="918"/>
      <w:bookmarkEnd w:id="919"/>
      <w:bookmarkEnd w:id="920"/>
      <w:bookmarkEnd w:id="921"/>
      <w:bookmarkEnd w:id="922"/>
      <w:bookmarkEnd w:id="923"/>
      <w:bookmarkEnd w:id="924"/>
      <w:bookmarkEnd w:id="925"/>
      <w:bookmarkEnd w:id="926"/>
      <w:bookmarkEnd w:id="927"/>
      <w:bookmarkEnd w:id="928"/>
      <w:bookmarkEnd w:id="929"/>
      <w:bookmarkEnd w:id="930"/>
      <w:bookmarkEnd w:id="931"/>
    </w:p>
    <w:p w14:paraId="2401D789">
      <w:pPr>
        <w:rPr>
          <w:rFonts w:hint="eastAsia" w:ascii="仿宋_GB2312" w:hAnsi="仿宋_GB2312" w:eastAsia="仿宋_GB2312" w:cs="仿宋_GB2312"/>
        </w:rPr>
      </w:pPr>
      <w:r>
        <w:rPr>
          <w:rFonts w:cs="Times New Roman"/>
        </w:rPr>
        <w:t>切实增强底线思维，深入推进党建引领基层治理专项行动、平安海门建设专项行动，</w:t>
      </w:r>
      <w:r>
        <w:rPr>
          <w:rFonts w:hint="eastAsia" w:ascii="仿宋_GB2312" w:hAnsi="仿宋_GB2312" w:eastAsia="仿宋_GB2312" w:cs="仿宋_GB2312"/>
          <w:kern w:val="0"/>
          <w:szCs w:val="32"/>
          <w:lang w:bidi="ar"/>
        </w:rPr>
        <w:t>坚决防范化解各类风险隐患，</w:t>
      </w:r>
      <w:r>
        <w:rPr>
          <w:rFonts w:cs="Times New Roman"/>
        </w:rPr>
        <w:t>健全基层治理体制机制，推动公共安全治理模式向事前预防转型，</w:t>
      </w:r>
      <w:r>
        <w:rPr>
          <w:rFonts w:hint="eastAsia" w:ascii="仿宋_GB2312" w:hAnsi="仿宋_GB2312" w:eastAsia="仿宋_GB2312" w:cs="仿宋_GB2312"/>
          <w:kern w:val="0"/>
          <w:szCs w:val="32"/>
          <w:lang w:bidi="ar"/>
        </w:rPr>
        <w:t>努力实现高质量发展和高水平安全的良性互动。</w:t>
      </w:r>
    </w:p>
    <w:p w14:paraId="75B670B1">
      <w:pPr>
        <w:pStyle w:val="3"/>
        <w:rPr>
          <w:rFonts w:ascii="Times New Roman" w:hAnsi="Times New Roman" w:cs="Times New Roman"/>
        </w:rPr>
      </w:pPr>
      <w:bookmarkStart w:id="932" w:name="_Toc8103"/>
      <w:bookmarkStart w:id="933" w:name="_Toc26892"/>
      <w:bookmarkStart w:id="934" w:name="_Toc16625"/>
      <w:bookmarkStart w:id="935" w:name="_Toc12934"/>
      <w:bookmarkStart w:id="936" w:name="_Toc14876"/>
      <w:bookmarkStart w:id="937" w:name="_Toc28780"/>
      <w:bookmarkStart w:id="938" w:name="_Toc6230"/>
      <w:bookmarkStart w:id="939" w:name="_Toc28777"/>
      <w:bookmarkStart w:id="940" w:name="_Toc11387"/>
      <w:bookmarkStart w:id="941" w:name="_Toc13485"/>
      <w:bookmarkStart w:id="942" w:name="_Toc30004"/>
      <w:bookmarkStart w:id="943" w:name="_Toc961"/>
      <w:bookmarkStart w:id="944" w:name="_Toc3715"/>
      <w:bookmarkStart w:id="945" w:name="_Toc21067"/>
      <w:r>
        <w:rPr>
          <w:rFonts w:ascii="Times New Roman" w:hAnsi="Times New Roman" w:cs="Times New Roman"/>
        </w:rPr>
        <w:t>第一节  建设法治海门</w:t>
      </w:r>
      <w:bookmarkEnd w:id="932"/>
      <w:bookmarkEnd w:id="933"/>
      <w:bookmarkEnd w:id="934"/>
      <w:bookmarkEnd w:id="935"/>
      <w:bookmarkEnd w:id="936"/>
      <w:bookmarkEnd w:id="937"/>
      <w:bookmarkEnd w:id="938"/>
      <w:bookmarkEnd w:id="939"/>
      <w:bookmarkEnd w:id="940"/>
      <w:bookmarkEnd w:id="941"/>
      <w:bookmarkEnd w:id="942"/>
      <w:bookmarkEnd w:id="943"/>
      <w:bookmarkEnd w:id="944"/>
      <w:bookmarkEnd w:id="945"/>
    </w:p>
    <w:p w14:paraId="730E32E7">
      <w:pPr>
        <w:bidi w:val="0"/>
      </w:pPr>
      <w:r>
        <w:rPr>
          <w:rFonts w:eastAsia="楷体_GB2312" w:cs="Times New Roman"/>
        </w:rPr>
        <w:t>深入推进法治政府建设。</w:t>
      </w:r>
      <w:r>
        <w:t>坚持科学、民主、依法决策，严格落实行政规范性文件和重大行政决策后评估制度，强化行政规范性文件和政策措施动态管理，推动区、镇（街）两级行政事项法治审核全覆盖。巩固行政复议主渠道作用，推动行政争议实质性化解，依托“复e通”行政复议智能助手强化技术赋能。促进规范公正文明执法，深化综合行政执法体制改革，加快区、镇（街）两级行政执法协调监督体系建设，优化涉企行政执法管理服务。</w:t>
      </w:r>
    </w:p>
    <w:p w14:paraId="02C3CAD2">
      <w:pPr>
        <w:rPr>
          <w:rFonts w:cs="Times New Roman"/>
        </w:rPr>
      </w:pPr>
      <w:r>
        <w:rPr>
          <w:rFonts w:eastAsia="楷体_GB2312" w:cs="Times New Roman"/>
        </w:rPr>
        <w:t>深入推进法治社会建设。</w:t>
      </w:r>
      <w:r>
        <w:rPr>
          <w:rFonts w:cs="Times New Roman"/>
        </w:rPr>
        <w:t>科学谋划“九五”普法，提档升级村居法治文化阵地，持续打造张謇法治文化品牌。建好“海之门·荟智厅”等平台，高质量运营全国人大常委会法工委海门基层立法联系点，畅通立法征询渠道。</w:t>
      </w:r>
      <w:r>
        <w:rPr>
          <w:rFonts w:cs="Times New Roman"/>
          <w:szCs w:val="22"/>
        </w:rPr>
        <w:t>健全覆盖城乡的公共法律服务体系</w:t>
      </w:r>
      <w:r>
        <w:rPr>
          <w:rFonts w:cs="Times New Roman"/>
        </w:rPr>
        <w:t>，强化“援链惠民”法律服务，加强新业态法援站点建设。持续开展“1名村（居）法律顾问+N名法律明白人”培育行动，建好用好“法律明白人学院”。加强公共法律服务网络平台建设运用。积极创建国家级民主法治示范村（社区）。</w:t>
      </w:r>
    </w:p>
    <w:p w14:paraId="2C489A5B">
      <w:pPr>
        <w:pStyle w:val="3"/>
        <w:rPr>
          <w:rFonts w:ascii="Times New Roman" w:hAnsi="Times New Roman" w:cs="Times New Roman"/>
        </w:rPr>
      </w:pPr>
      <w:bookmarkStart w:id="946" w:name="_Toc951"/>
      <w:bookmarkStart w:id="947" w:name="_Toc22973"/>
      <w:bookmarkStart w:id="948" w:name="_Toc15307"/>
      <w:bookmarkStart w:id="949" w:name="_Toc3648"/>
      <w:bookmarkStart w:id="950" w:name="_Toc26129"/>
      <w:bookmarkStart w:id="951" w:name="_Toc28620"/>
      <w:bookmarkStart w:id="952" w:name="_Toc87"/>
      <w:bookmarkStart w:id="953" w:name="_Toc17539"/>
      <w:bookmarkStart w:id="954" w:name="_Toc15928"/>
      <w:bookmarkStart w:id="955" w:name="_Toc2222"/>
      <w:bookmarkStart w:id="956" w:name="_Toc8239"/>
      <w:bookmarkStart w:id="957" w:name="_Toc11974"/>
      <w:bookmarkStart w:id="958" w:name="_Toc10464"/>
      <w:bookmarkStart w:id="959" w:name="_Toc29803"/>
      <w:r>
        <w:rPr>
          <w:rFonts w:ascii="Times New Roman" w:hAnsi="Times New Roman" w:cs="Times New Roman"/>
        </w:rPr>
        <w:t>第二节  打造多元共治的社会治理格局</w:t>
      </w:r>
      <w:bookmarkEnd w:id="946"/>
      <w:bookmarkEnd w:id="947"/>
      <w:bookmarkEnd w:id="948"/>
      <w:bookmarkEnd w:id="949"/>
      <w:bookmarkEnd w:id="950"/>
      <w:bookmarkEnd w:id="951"/>
      <w:bookmarkEnd w:id="952"/>
      <w:bookmarkEnd w:id="953"/>
      <w:bookmarkEnd w:id="954"/>
      <w:bookmarkEnd w:id="955"/>
      <w:bookmarkEnd w:id="956"/>
      <w:bookmarkEnd w:id="957"/>
      <w:bookmarkEnd w:id="958"/>
      <w:bookmarkEnd w:id="959"/>
    </w:p>
    <w:p w14:paraId="78565426">
      <w:pPr>
        <w:rPr>
          <w:rFonts w:cs="Times New Roman"/>
        </w:rPr>
      </w:pPr>
      <w:r>
        <w:rPr>
          <w:rFonts w:eastAsia="楷体_GB2312" w:cs="Times New Roman"/>
        </w:rPr>
        <w:t>提升基层治理能力</w:t>
      </w:r>
      <w:r>
        <w:rPr>
          <w:rFonts w:cs="Times New Roman"/>
        </w:rPr>
        <w:t>。加强党对基层治理的全面领导，持续加强基层党组织建设，构建“四沉四提四融合”党建引领基层治理体系，推进党建网格和治理网格“并网融合”。按照中心村、农业村、薄弱村以及新城区、老城区、</w:t>
      </w:r>
      <w:r>
        <w:rPr>
          <w:rFonts w:cs="Times New Roman"/>
          <w:highlight w:val="none"/>
        </w:rPr>
        <w:t>城郊结合区</w:t>
      </w:r>
      <w:r>
        <w:rPr>
          <w:rFonts w:cs="Times New Roman"/>
        </w:rPr>
        <w:t>等类型分类施策，编制村（社区）治理“共性+个性”“四张清单”，健全基层减负长效机制和村（社区）工作事务准入制度。深化网格化服务管理，强化警力、公共服务、邮政、金融等功能赋能网格，提升网格“微课堂、微哨站、微活动、微调解、微治理、微服务”等功能，配强网格员队伍。</w:t>
      </w:r>
    </w:p>
    <w:p w14:paraId="22E72467">
      <w:pPr>
        <w:rPr>
          <w:rFonts w:cs="Times New Roman"/>
        </w:rPr>
      </w:pPr>
      <w:r>
        <w:rPr>
          <w:rFonts w:eastAsia="楷体_GB2312" w:cs="Times New Roman"/>
        </w:rPr>
        <w:t>创新基层多元共治模式。</w:t>
      </w:r>
      <w:r>
        <w:rPr>
          <w:rFonts w:cs="Times New Roman"/>
        </w:rPr>
        <w:t>放大</w:t>
      </w:r>
      <w:r>
        <w:rPr>
          <w:rFonts w:cs="Times New Roman"/>
          <w:lang w:bidi="ar"/>
        </w:rPr>
        <w:t>“五社联动”试点效应</w:t>
      </w:r>
      <w:r>
        <w:rPr>
          <w:rFonts w:cs="Times New Roman"/>
        </w:rPr>
        <w:t>，拓宽社会力量参与基层治理渠道，推进网上网下协同治理，</w:t>
      </w:r>
      <w:r>
        <w:rPr>
          <w:rFonts w:cs="Times New Roman"/>
          <w:lang w:bidi="ar"/>
        </w:rPr>
        <w:t>形成全社会共建共治共享良好局面。</w:t>
      </w:r>
      <w:r>
        <w:rPr>
          <w:rFonts w:cs="Times New Roman"/>
        </w:rPr>
        <w:t>完善“社区合伙人”共治模式，引导社会组织、志愿队伍、物业公司、能人匠人等社会力量担当“社区合伙人”，创新“公益+市场”合伙模式。完善社区工作者职业体系，推行“全科社工”服务模式，完善镇（街道）、村（社区）便民服务中心（站）全科服务窗口设置，推进“社工+志愿”联动服务模式。加强社区社会组织孵化培育，制定“社会组织参与村（社区）基层治理白名单”。健全自治、德治、法治、智治“四治融合”，强化村规民约、居民公约约束作用，完善区、镇（街）、村（社区）、网格（小区）四级议事体系，建好“海好说”党群议事平台，鼓励“五老人员”、外卖小哥等群体参与治理。鼓励工会、共青团、科协、妇联、工商联、法学会等群团组织协同参与社会治理。</w:t>
      </w:r>
    </w:p>
    <w:p w14:paraId="186C3ACB">
      <w:pPr>
        <w:bidi w:val="0"/>
      </w:pPr>
      <w:r>
        <w:rPr>
          <w:rFonts w:eastAsia="楷体_GB2312" w:cs="Times New Roman"/>
        </w:rPr>
        <w:t>健全矛盾预防和化解机制。</w:t>
      </w:r>
      <w:r>
        <w:t>坚持和发展新时代“枫桥经验”，完善矛盾纠纷源头预防、排查预警和多元化解工作机制，推进综治中心规范化建设。全面推进信访工作预防、受理、办理、监督追责、维护秩序“五个法治化”。深入开展信访矛盾源头治理和重点领域矛盾化解攻坚，健全“三级书记抓信访”“属事属地同责”“访调对接”等信访治理常态化机制，实现信访总量下降、进京去省访持续减量退位。</w:t>
      </w:r>
    </w:p>
    <w:p w14:paraId="0B183A24">
      <w:pPr>
        <w:pStyle w:val="3"/>
        <w:rPr>
          <w:rFonts w:ascii="Times New Roman" w:hAnsi="Times New Roman" w:cs="Times New Roman"/>
        </w:rPr>
      </w:pPr>
      <w:bookmarkStart w:id="960" w:name="_Toc12069"/>
      <w:bookmarkStart w:id="961" w:name="_Toc308"/>
      <w:bookmarkStart w:id="962" w:name="_Toc3281"/>
      <w:bookmarkStart w:id="963" w:name="_Toc10017"/>
      <w:bookmarkStart w:id="964" w:name="_Toc4442"/>
      <w:bookmarkStart w:id="965" w:name="_Toc18769"/>
      <w:bookmarkStart w:id="966" w:name="_Toc7326"/>
      <w:bookmarkStart w:id="967" w:name="_Toc29645"/>
      <w:bookmarkStart w:id="968" w:name="_Toc14519"/>
      <w:bookmarkStart w:id="969" w:name="_Toc13043"/>
      <w:bookmarkStart w:id="970" w:name="_Toc7831"/>
      <w:bookmarkStart w:id="971" w:name="_Toc26548"/>
      <w:bookmarkStart w:id="972" w:name="_Toc3577"/>
      <w:bookmarkStart w:id="973" w:name="_Toc11558"/>
      <w:r>
        <w:rPr>
          <w:rFonts w:ascii="Times New Roman" w:hAnsi="Times New Roman" w:cs="Times New Roman"/>
        </w:rPr>
        <w:t>第三节  建设平安海门</w:t>
      </w:r>
      <w:bookmarkEnd w:id="960"/>
      <w:bookmarkEnd w:id="961"/>
      <w:bookmarkEnd w:id="962"/>
      <w:bookmarkEnd w:id="963"/>
      <w:bookmarkEnd w:id="964"/>
      <w:bookmarkEnd w:id="965"/>
      <w:bookmarkEnd w:id="966"/>
      <w:bookmarkEnd w:id="967"/>
      <w:bookmarkEnd w:id="968"/>
      <w:bookmarkEnd w:id="969"/>
      <w:bookmarkEnd w:id="970"/>
      <w:bookmarkEnd w:id="971"/>
      <w:bookmarkEnd w:id="972"/>
      <w:bookmarkEnd w:id="973"/>
    </w:p>
    <w:p w14:paraId="3B7B39FD">
      <w:pPr>
        <w:bidi w:val="0"/>
      </w:pPr>
      <w:r>
        <w:rPr>
          <w:rFonts w:eastAsia="楷体_GB2312" w:cs="Times New Roman"/>
        </w:rPr>
        <w:t>防范化解重点领域风险。</w:t>
      </w:r>
      <w:r>
        <w:t>落实风险防控“四项机制”，加强主动防控、源头防控、总体防控和有效防控。把捍卫政治安全摆在首位，坚决维护国家政权安全和制度安全，筑牢意识形态安全防线，坚决防范化解可能影响政治安全的重大风险隐患。完善国防动员体系，强化全民国防教育和民兵预备役工作，巩固军政军民团结。严格落实粮食安全党政同责，严守耕地保护红线，严格占补平衡管理。严格落实地方粮食储备规模，健全应急供应保障体系，确保区域粮食市场稳定。充分发挥“网络安全应急指挥中心”作用，推进网络空间安全综合治理，深入开展“净网”“清朗”系列专项行动，健全突发敏感舆情一触即发研判处置应对机制。防范房地产、中小金融机构等重点领域金融风险，“一盘一策”化解房地产项目风险，健全中小金融机构风险监测和评估体系，严厉打击非法金融活动，牢牢守住不发生系统性金融风险底线。加强政府债务管理，稳妥化解融资平台债务风险。确保能源资源安全，保障重大基础设施安全，多措并举打造韧性安全的产业链供应链。全覆盖防控非传统领域和新兴领域安全风险，确保网络、数据、生物、人工智能等在有效监管下健康发展，有力保护个人信息。</w:t>
      </w:r>
    </w:p>
    <w:p w14:paraId="016C809F">
      <w:pPr>
        <w:bidi w:val="0"/>
        <w:rPr>
          <w:rFonts w:cs="Times New Roman"/>
        </w:rPr>
      </w:pPr>
      <w:r>
        <w:rPr>
          <w:rFonts w:eastAsia="楷体_GB2312" w:cs="Times New Roman"/>
        </w:rPr>
        <w:t>优化社会治安环境。</w:t>
      </w:r>
      <w:r>
        <w:t>健全扫黑除恶常态化机制，加大预防和打击电信诈骗、涉娼涉赌、侵犯财产、毒品犯罪等力度。完善“打防管控”一体的立体社会治安整体防控体系，科学布局一批“智慧警亭”，完善“站舱车摩航亭”应急快反体系，提档校园、医院等人员密集场所人防、物防、技防设施，提升街面见警率和治安掌</w:t>
      </w:r>
      <w:r>
        <w:rPr>
          <w:rFonts w:cs="Times New Roman"/>
        </w:rPr>
        <w:t>控力。优化警地协同机制，发展壮大“社区警务团队”，深化“蓝背心工程”建设，探索打造“江海管家联盟”矩阵，推广警医、警校、警银等“公安+”共建联勤模式。加强对严重精神障碍患者、刑满释放人员、严重不良行为未成年人、社区矫正对象等重点人群的服务管理，健全严重精神障碍患者风险管控“五帮一”体系，实施未成年人保护和犯罪预防“润禾·新辰”计划。</w:t>
      </w:r>
    </w:p>
    <w:p w14:paraId="3A8F01D8">
      <w:pPr>
        <w:bidi w:val="0"/>
      </w:pPr>
      <w:r>
        <w:rPr>
          <w:rFonts w:eastAsia="楷体_GB2312" w:cs="Times New Roman"/>
        </w:rPr>
        <w:t>加强安全综合治理。</w:t>
      </w:r>
      <w:r>
        <w:t>纵深推进安全生产治本攻坚行动，抓实“六化”建设，压紧压实企业安全生产主体责任。聚焦重点领域，强化风险辨识管控与专项整治，深化城镇燃气、“厂中厂”、化工和危险化学品等“一件事”全链条治理和社会面小场所治理，构建“风险排查</w:t>
      </w:r>
      <w:r>
        <w:rPr>
          <w:rFonts w:hint="eastAsia"/>
          <w:lang w:eastAsia="zh-CN"/>
        </w:rPr>
        <w:t>—</w:t>
      </w:r>
      <w:r>
        <w:t>隐患整改</w:t>
      </w:r>
      <w:r>
        <w:rPr>
          <w:rFonts w:hint="eastAsia"/>
          <w:lang w:eastAsia="zh-CN"/>
        </w:rPr>
        <w:t>—</w:t>
      </w:r>
      <w:r>
        <w:t>长效管控”闭环体系，推动安全治理模式向事前预防转型。制定船舶海工、生物医药、建筑施工、钢铁冶炼等重点行业安全生产长效管理措施，强化数据、人工智能、低空等新兴领域安全保障能力建设，推行剧毒、易制爆危化品二维码溯源管理模式。加强食品安全风险防控，健全食品供应链追溯体系。加强药品安全监管，推进职业化专业化药品检查员队伍建设，加大高风险药品和企业检查力度。加强特种设备安全监管人员岗位知识更新和现场检查技能培训。</w:t>
      </w:r>
    </w:p>
    <w:p w14:paraId="1B468A26">
      <w:pPr>
        <w:rPr>
          <w:rFonts w:eastAsia="方正仿宋_GBK" w:cs="Times New Roman"/>
        </w:rPr>
      </w:pPr>
      <w:r>
        <w:rPr>
          <w:rFonts w:eastAsia="楷体_GB2312" w:cs="Times New Roman"/>
        </w:rPr>
        <w:t>增强防灾减灾和应急管理能力。</w:t>
      </w:r>
      <w:r>
        <w:rPr>
          <w:rFonts w:cs="Times New Roman"/>
        </w:rPr>
        <w:t>提升全灾种应对、多部门协同、全社会参与的防灾减灾救灾能力，建立直达基层责任人的临灾预警“叫应”机制。建立更加高效的应急指挥体系，持续推进区应急指挥部标准化建设，提升应急通信、指挥调度、信息报送、会商研判、综合保障、舆情应对等应急能力。完善应急预案体系，适时修订区级应急预案和专项、部门应急预案。加强“专业+综合+应急”救援队伍建设，支持乡镇（街道）、村（社区）建立“一队多用”应急救援队伍。强化应急演练，不断增强应急实战能力。加强应急物资储备和管理，推进应急避难场所规划建设、改造提升和管理维护。推进城市平急两用公共基础设施建设。</w:t>
      </w:r>
    </w:p>
    <w:p w14:paraId="7C2E881A">
      <w:pPr>
        <w:rPr>
          <w:rFonts w:cs="Times New Roman"/>
        </w:rPr>
        <w:sectPr>
          <w:pgSz w:w="11906" w:h="16838"/>
          <w:pgMar w:top="1814" w:right="1531" w:bottom="1984" w:left="1531" w:header="510" w:footer="1474" w:gutter="0"/>
          <w:cols w:space="0" w:num="1"/>
          <w:docGrid w:type="lines" w:linePitch="312" w:charSpace="0"/>
        </w:sectPr>
      </w:pPr>
      <w:bookmarkStart w:id="974" w:name="_Toc338"/>
      <w:bookmarkStart w:id="975" w:name="_Toc26241"/>
      <w:bookmarkStart w:id="976" w:name="_Toc29990"/>
      <w:bookmarkStart w:id="977" w:name="_Toc8794"/>
      <w:bookmarkStart w:id="978" w:name="_Toc23903"/>
      <w:bookmarkStart w:id="979" w:name="_Toc17454"/>
      <w:bookmarkStart w:id="980" w:name="_Toc17304"/>
    </w:p>
    <w:p w14:paraId="20284568">
      <w:pPr>
        <w:pStyle w:val="2"/>
        <w:rPr>
          <w:rFonts w:ascii="Times New Roman" w:hAnsi="Times New Roman" w:cs="Times New Roman"/>
        </w:rPr>
      </w:pPr>
      <w:bookmarkStart w:id="981" w:name="_Toc6939"/>
      <w:bookmarkStart w:id="982" w:name="_Toc30180"/>
      <w:bookmarkStart w:id="983" w:name="_Toc11881"/>
      <w:bookmarkStart w:id="984" w:name="_Toc21833"/>
      <w:bookmarkStart w:id="985" w:name="_Toc16507"/>
      <w:bookmarkStart w:id="986" w:name="_Toc2726"/>
      <w:bookmarkStart w:id="987" w:name="_Toc8775"/>
      <w:r>
        <w:rPr>
          <w:rFonts w:ascii="Times New Roman" w:hAnsi="Times New Roman" w:cs="Times New Roman"/>
        </w:rPr>
        <w:t>第十六章  加强规划实施保障  奋力汇聚现代化建设强大合力</w:t>
      </w:r>
      <w:bookmarkEnd w:id="974"/>
      <w:bookmarkEnd w:id="975"/>
      <w:bookmarkEnd w:id="976"/>
      <w:bookmarkEnd w:id="977"/>
      <w:bookmarkEnd w:id="978"/>
      <w:bookmarkEnd w:id="979"/>
      <w:bookmarkEnd w:id="980"/>
      <w:bookmarkEnd w:id="981"/>
      <w:bookmarkEnd w:id="982"/>
      <w:bookmarkEnd w:id="983"/>
      <w:bookmarkEnd w:id="984"/>
      <w:bookmarkEnd w:id="985"/>
      <w:bookmarkEnd w:id="986"/>
      <w:bookmarkEnd w:id="987"/>
    </w:p>
    <w:p w14:paraId="43FB7947">
      <w:pPr>
        <w:rPr>
          <w:rFonts w:cs="Times New Roman"/>
        </w:rPr>
      </w:pPr>
      <w:bookmarkStart w:id="988" w:name="_Toc32296"/>
      <w:bookmarkStart w:id="989" w:name="_Toc11352"/>
      <w:bookmarkStart w:id="990" w:name="_Toc2441"/>
      <w:bookmarkStart w:id="991" w:name="_Toc30407"/>
      <w:bookmarkStart w:id="992" w:name="_Toc24155"/>
      <w:bookmarkStart w:id="993" w:name="_Toc17959"/>
      <w:bookmarkStart w:id="994" w:name="_Toc29621"/>
      <w:bookmarkStart w:id="995" w:name="_Toc31018"/>
      <w:bookmarkStart w:id="996" w:name="_Toc5510"/>
      <w:bookmarkStart w:id="997" w:name="_Toc13989"/>
      <w:bookmarkStart w:id="998" w:name="_Toc15849"/>
      <w:bookmarkStart w:id="999" w:name="_Toc14938"/>
      <w:r>
        <w:rPr>
          <w:rFonts w:cs="Times New Roman"/>
        </w:rPr>
        <w:t>充分发挥党总揽全局、协调各方的领导核心作用，深化作风建设专项行动，更好发挥发展规划战略导向作用，加强规划实施组织协调推进，广泛凝聚共识，扎扎实实推动“十五五”规划各项目标任务落到实处。</w:t>
      </w:r>
    </w:p>
    <w:p w14:paraId="2168721C">
      <w:pPr>
        <w:pStyle w:val="3"/>
        <w:rPr>
          <w:rFonts w:ascii="Times New Roman" w:hAnsi="Times New Roman" w:cs="Times New Roman"/>
        </w:rPr>
      </w:pPr>
      <w:bookmarkStart w:id="1000" w:name="_Toc22540"/>
      <w:bookmarkStart w:id="1001" w:name="_Toc10621"/>
      <w:bookmarkStart w:id="1002" w:name="_Toc8538"/>
      <w:r>
        <w:rPr>
          <w:rFonts w:ascii="Times New Roman" w:hAnsi="Times New Roman" w:cs="Times New Roman"/>
        </w:rPr>
        <w:t>第一节  坚持和加强党的全面领导</w:t>
      </w:r>
      <w:bookmarkEnd w:id="988"/>
      <w:bookmarkEnd w:id="989"/>
      <w:bookmarkEnd w:id="990"/>
      <w:bookmarkEnd w:id="991"/>
      <w:bookmarkEnd w:id="992"/>
      <w:bookmarkEnd w:id="993"/>
      <w:bookmarkEnd w:id="994"/>
      <w:bookmarkEnd w:id="995"/>
      <w:bookmarkEnd w:id="996"/>
      <w:bookmarkEnd w:id="997"/>
      <w:bookmarkEnd w:id="998"/>
      <w:bookmarkEnd w:id="999"/>
      <w:bookmarkEnd w:id="1000"/>
      <w:bookmarkEnd w:id="1001"/>
      <w:bookmarkEnd w:id="1002"/>
    </w:p>
    <w:p w14:paraId="3EEE636E">
      <w:pPr>
        <w:rPr>
          <w:rFonts w:eastAsia="方正仿宋_GBK" w:cs="Times New Roman"/>
        </w:rPr>
      </w:pPr>
      <w:r>
        <w:rPr>
          <w:rFonts w:cs="Times New Roman"/>
        </w:rPr>
        <w:t>深入贯彻党中央决策部署，全面贯彻落实习近平总书记对江苏工作重要讲话重要指示精神</w:t>
      </w:r>
      <w:r>
        <w:rPr>
          <w:rFonts w:hint="eastAsia" w:cs="Times New Roman"/>
        </w:rPr>
        <w:t>，</w:t>
      </w:r>
      <w:r>
        <w:rPr>
          <w:rFonts w:cs="Times New Roman"/>
        </w:rPr>
        <w:t>进一步完善全链条贯彻落实机制，始终在思想上政治上行动上同以习近平同志为核心的党中央保持高度一致。严格贯彻执行民主集中制，坚持科学决策、民主决策、依法决策，完善党领导经济社会发展工作机制，把党的领导贯穿于规划实施各领域全过程。锻造堪当现代化建设重任的高素质干部队伍，以实绩论英雄、凭德才用干部，推动严管厚爱结合、激励约束并重。锲而不舍落实中央八项规定精神，推进作风建设常态化长效化，纵深推进全面从严治党。</w:t>
      </w:r>
    </w:p>
    <w:p w14:paraId="5A6942D5">
      <w:pPr>
        <w:pStyle w:val="3"/>
        <w:rPr>
          <w:rFonts w:ascii="Times New Roman" w:hAnsi="Times New Roman" w:cs="Times New Roman"/>
        </w:rPr>
      </w:pPr>
      <w:bookmarkStart w:id="1003" w:name="_Toc5014"/>
      <w:bookmarkStart w:id="1004" w:name="_Toc17462"/>
      <w:bookmarkStart w:id="1005" w:name="_Toc21183"/>
      <w:bookmarkStart w:id="1006" w:name="_Toc24907"/>
      <w:bookmarkStart w:id="1007" w:name="_Toc30108"/>
      <w:bookmarkStart w:id="1008" w:name="_Toc23373"/>
      <w:bookmarkStart w:id="1009" w:name="_Toc25699"/>
      <w:bookmarkStart w:id="1010" w:name="_Toc6560"/>
      <w:bookmarkStart w:id="1011" w:name="_Toc17206"/>
      <w:bookmarkStart w:id="1012" w:name="_Toc28243"/>
      <w:bookmarkStart w:id="1013" w:name="_Toc23819"/>
      <w:bookmarkStart w:id="1014" w:name="_Toc22845"/>
      <w:bookmarkStart w:id="1015" w:name="_Toc1662"/>
      <w:bookmarkStart w:id="1016" w:name="_Toc19145"/>
      <w:r>
        <w:rPr>
          <w:rFonts w:ascii="Times New Roman" w:hAnsi="Times New Roman" w:cs="Times New Roman"/>
        </w:rPr>
        <w:t>第二节  加强发展规划战略统领</w:t>
      </w:r>
      <w:bookmarkEnd w:id="1003"/>
      <w:bookmarkEnd w:id="1004"/>
      <w:bookmarkEnd w:id="1005"/>
      <w:bookmarkEnd w:id="1006"/>
      <w:bookmarkEnd w:id="1007"/>
      <w:bookmarkEnd w:id="1008"/>
      <w:bookmarkEnd w:id="1009"/>
      <w:bookmarkEnd w:id="1010"/>
      <w:bookmarkEnd w:id="1011"/>
      <w:bookmarkEnd w:id="1012"/>
      <w:bookmarkEnd w:id="1013"/>
      <w:bookmarkEnd w:id="1014"/>
      <w:bookmarkEnd w:id="1015"/>
      <w:bookmarkEnd w:id="1016"/>
    </w:p>
    <w:p w14:paraId="1335D759">
      <w:pPr>
        <w:rPr>
          <w:rFonts w:cs="Times New Roman"/>
          <w:szCs w:val="32"/>
        </w:rPr>
      </w:pPr>
      <w:r>
        <w:rPr>
          <w:rFonts w:cs="Times New Roman"/>
          <w:szCs w:val="22"/>
          <w14:ligatures w14:val="standardContextual"/>
        </w:rPr>
        <w:t>严格遵循《</w:t>
      </w:r>
      <w:r>
        <w:rPr>
          <w:rFonts w:hint="eastAsia" w:cs="Times New Roman"/>
          <w:szCs w:val="22"/>
          <w14:ligatures w14:val="standardContextual"/>
        </w:rPr>
        <w:t>中华人民共和国国家</w:t>
      </w:r>
      <w:r>
        <w:rPr>
          <w:rFonts w:cs="Times New Roman"/>
          <w:szCs w:val="22"/>
          <w14:ligatures w14:val="standardContextual"/>
        </w:rPr>
        <w:t>发展规划法（草案）》立法精神，全面落实《江苏省发展规划条例》，加快</w:t>
      </w:r>
      <w:r>
        <w:rPr>
          <w:rFonts w:hint="eastAsia" w:cs="Times New Roman"/>
          <w:szCs w:val="22"/>
          <w14:ligatures w14:val="standardContextual"/>
        </w:rPr>
        <w:t>构建</w:t>
      </w:r>
      <w:r>
        <w:rPr>
          <w:rFonts w:cs="Times New Roman"/>
          <w:szCs w:val="22"/>
          <w14:ligatures w14:val="standardContextual"/>
        </w:rPr>
        <w:t>定位准确、边界清晰、功能互补、统一衔接的规划体系。</w:t>
      </w:r>
      <w:r>
        <w:rPr>
          <w:rFonts w:cs="Times New Roman"/>
          <w:szCs w:val="32"/>
        </w:rPr>
        <w:t>强化发展规划统领地位，统筹安排事关长远发展的重大战略、具有全局影响的重大政策、支撑高质量发展的重大工程项目，为各类规划系统落实区级决策部署和战略安排提供遵循。增强专项规划支撑作用，发挥国土空间规划基础作用，衔接落实本《纲要》确定的主要目标和任务举措。</w:t>
      </w:r>
    </w:p>
    <w:p w14:paraId="13932F60">
      <w:pPr>
        <w:pStyle w:val="3"/>
        <w:rPr>
          <w:rFonts w:ascii="Times New Roman" w:hAnsi="Times New Roman" w:cs="Times New Roman"/>
        </w:rPr>
      </w:pPr>
      <w:bookmarkStart w:id="1017" w:name="_Toc1575"/>
      <w:bookmarkStart w:id="1018" w:name="_Toc8203"/>
      <w:bookmarkStart w:id="1019" w:name="_Toc23767"/>
      <w:bookmarkStart w:id="1020" w:name="_Toc31736"/>
      <w:bookmarkStart w:id="1021" w:name="_Toc11819"/>
      <w:bookmarkStart w:id="1022" w:name="_Toc30837"/>
      <w:bookmarkStart w:id="1023" w:name="_Toc8055"/>
      <w:bookmarkStart w:id="1024" w:name="_Toc17844"/>
      <w:bookmarkStart w:id="1025" w:name="_Toc4751"/>
      <w:bookmarkStart w:id="1026" w:name="_Toc3371"/>
      <w:bookmarkStart w:id="1027" w:name="_Toc26332"/>
      <w:bookmarkStart w:id="1028" w:name="_Toc28952"/>
      <w:bookmarkStart w:id="1029" w:name="_Toc13494"/>
      <w:bookmarkStart w:id="1030" w:name="_Toc19972"/>
      <w:r>
        <w:rPr>
          <w:rFonts w:ascii="Times New Roman" w:hAnsi="Times New Roman" w:cs="Times New Roman"/>
        </w:rPr>
        <w:t>第三节  创新规划实施机制</w:t>
      </w:r>
      <w:bookmarkEnd w:id="1017"/>
      <w:bookmarkEnd w:id="1018"/>
      <w:bookmarkEnd w:id="1019"/>
      <w:bookmarkEnd w:id="1020"/>
      <w:bookmarkEnd w:id="1021"/>
      <w:bookmarkEnd w:id="1022"/>
      <w:bookmarkEnd w:id="1023"/>
      <w:bookmarkEnd w:id="1024"/>
      <w:bookmarkEnd w:id="1025"/>
      <w:bookmarkEnd w:id="1026"/>
      <w:bookmarkEnd w:id="1027"/>
      <w:bookmarkEnd w:id="1028"/>
      <w:bookmarkEnd w:id="1029"/>
      <w:bookmarkEnd w:id="1030"/>
    </w:p>
    <w:p w14:paraId="108D38A4">
      <w:pPr>
        <w:rPr>
          <w:rFonts w:cs="Times New Roman"/>
          <w:szCs w:val="32"/>
        </w:rPr>
      </w:pPr>
      <w:r>
        <w:rPr>
          <w:rFonts w:cs="Times New Roman"/>
          <w:szCs w:val="32"/>
        </w:rPr>
        <w:t>强化责任落实，明确部门和区镇责任分工，做好年度计划与发展规划目标任务综合平衡。加强规划评估，推动中期评估和总结评估相衔接，严格落实人大关于规划调整和修订相关工作机制。加强规划与经济社会发展政策协调联动，强化财政、金融、产业、城乡、土地、投资、就业、消费、民生等政策对发展规划实施的保障和支撑，引导土地、人才、环保、用能等要素向有利于规划实施的方向和结构合理配置。</w:t>
      </w:r>
    </w:p>
    <w:p w14:paraId="14C298FD">
      <w:pPr>
        <w:pStyle w:val="3"/>
        <w:rPr>
          <w:rFonts w:ascii="Times New Roman" w:hAnsi="Times New Roman" w:cs="Times New Roman"/>
        </w:rPr>
      </w:pPr>
      <w:bookmarkStart w:id="1031" w:name="_Toc26081"/>
      <w:bookmarkStart w:id="1032" w:name="_Toc17044"/>
      <w:bookmarkStart w:id="1033" w:name="_Toc28694"/>
      <w:bookmarkStart w:id="1034" w:name="_Toc20415"/>
      <w:bookmarkStart w:id="1035" w:name="_Toc184"/>
      <w:bookmarkStart w:id="1036" w:name="_Toc19412"/>
      <w:bookmarkStart w:id="1037" w:name="_Toc4184"/>
      <w:bookmarkStart w:id="1038" w:name="_Toc16730"/>
      <w:bookmarkStart w:id="1039" w:name="_Toc21381"/>
      <w:bookmarkStart w:id="1040" w:name="_Toc17672"/>
      <w:bookmarkStart w:id="1041" w:name="_Toc32122"/>
      <w:bookmarkStart w:id="1042" w:name="_Toc29970"/>
      <w:bookmarkStart w:id="1043" w:name="_Toc1170"/>
      <w:bookmarkStart w:id="1044" w:name="_Toc28862"/>
      <w:r>
        <w:rPr>
          <w:rFonts w:ascii="Times New Roman" w:hAnsi="Times New Roman" w:cs="Times New Roman"/>
        </w:rPr>
        <w:t>第四节  广泛凝聚各方力量</w:t>
      </w:r>
      <w:bookmarkEnd w:id="1031"/>
      <w:bookmarkEnd w:id="1032"/>
      <w:bookmarkEnd w:id="1033"/>
      <w:bookmarkEnd w:id="1034"/>
      <w:bookmarkEnd w:id="1035"/>
      <w:bookmarkEnd w:id="1036"/>
      <w:bookmarkEnd w:id="1037"/>
      <w:bookmarkEnd w:id="1038"/>
      <w:bookmarkEnd w:id="1039"/>
      <w:bookmarkEnd w:id="1040"/>
      <w:bookmarkEnd w:id="1041"/>
      <w:bookmarkEnd w:id="1042"/>
      <w:bookmarkEnd w:id="1043"/>
      <w:bookmarkEnd w:id="1044"/>
    </w:p>
    <w:p w14:paraId="0873D83D">
      <w:pPr>
        <w:rPr>
          <w:rFonts w:cs="Times New Roman"/>
        </w:rPr>
      </w:pPr>
      <w:r>
        <w:rPr>
          <w:rFonts w:cs="Times New Roman"/>
        </w:rPr>
        <w:t>加强规划执行监督，自觉接受人大、政协、审计和社会监督。充分发挥民主党派、工商联和无党派人士作用，广泛凝聚工会、共青团、妇联、科协等群团和社会组织力量，共同推动规划实施。健全专家参与公共决策制度，拓宽公众意见征集渠道，激发市场主体参与规划实施的积极性和创造性，形成规划实施合力。加强规划宣传解读，及时报道规划实施新成效新做法，营造规划实施的良好氛围。</w:t>
      </w:r>
    </w:p>
    <w:sectPr>
      <w:pgSz w:w="11906" w:h="16838"/>
      <w:pgMar w:top="1814" w:right="1531" w:bottom="1984" w:left="1531" w:header="510" w:footer="1474" w:gutter="0"/>
      <w:cols w:space="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0B244830-CAFC-4B1A-80E4-E52725C144FF}"/>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embedRegular r:id="rId2" w:fontKey="{D841ACBE-54E8-4113-B30E-F4F5A2931BBC}"/>
  </w:font>
  <w:font w:name="Good Times">
    <w:altName w:val="Segoe Print"/>
    <w:panose1 w:val="00000500000000000000"/>
    <w:charset w:val="00"/>
    <w:family w:val="auto"/>
    <w:pitch w:val="default"/>
    <w:sig w:usb0="00000000" w:usb1="00000000" w:usb2="00000000" w:usb3="00000000" w:csb0="00000003" w:csb1="00000000"/>
  </w:font>
  <w:font w:name="Segoe Print">
    <w:panose1 w:val="02000600000000000000"/>
    <w:charset w:val="00"/>
    <w:family w:val="auto"/>
    <w:pitch w:val="default"/>
    <w:sig w:usb0="0000028F" w:usb1="00000000" w:usb2="00000000" w:usb3="00000000" w:csb0="2000009F" w:csb1="47010000"/>
  </w:font>
  <w:font w:name="方正小标宋简体">
    <w:panose1 w:val="03000509000000000000"/>
    <w:charset w:val="86"/>
    <w:family w:val="auto"/>
    <w:pitch w:val="default"/>
    <w:sig w:usb0="00000001" w:usb1="080E0000" w:usb2="00000000" w:usb3="00000000" w:csb0="00040000" w:csb1="00000000"/>
    <w:embedRegular r:id="rId3" w:fontKey="{1D1F94AD-93C9-4FE8-9A3B-D06D108AE37E}"/>
  </w:font>
  <w:font w:name="方正楷体_GBK">
    <w:panose1 w:val="03000509000000000000"/>
    <w:charset w:val="86"/>
    <w:family w:val="script"/>
    <w:pitch w:val="default"/>
    <w:sig w:usb0="00000001" w:usb1="080E0000" w:usb2="00000000" w:usb3="00000000" w:csb0="00040000" w:csb1="00000000"/>
    <w:embedRegular r:id="rId4" w:fontKey="{C1EBBEE8-0547-4E45-A0FA-BAEB7A6E3D77}"/>
  </w:font>
  <w:font w:name="方正黑体_GBK">
    <w:panose1 w:val="03000509000000000000"/>
    <w:charset w:val="86"/>
    <w:family w:val="script"/>
    <w:pitch w:val="default"/>
    <w:sig w:usb0="00000001" w:usb1="080E0000" w:usb2="00000000" w:usb3="00000000" w:csb0="00040000" w:csb1="00000000"/>
    <w:embedRegular r:id="rId5" w:fontKey="{FEFF466F-5CC7-445E-BEA1-B228F7EFE306}"/>
  </w:font>
  <w:font w:name="Cambria">
    <w:panose1 w:val="02040503050406030204"/>
    <w:charset w:val="00"/>
    <w:family w:val="roman"/>
    <w:pitch w:val="default"/>
    <w:sig w:usb0="E00006FF" w:usb1="420024FF" w:usb2="02000000" w:usb3="00000000" w:csb0="2000019F" w:csb1="00000000"/>
  </w:font>
  <w:font w:name="方正小标宋_GBK">
    <w:panose1 w:val="03000509000000000000"/>
    <w:charset w:val="86"/>
    <w:family w:val="script"/>
    <w:pitch w:val="default"/>
    <w:sig w:usb0="00000001" w:usb1="080E0000" w:usb2="00000000" w:usb3="00000000" w:csb0="00040000" w:csb1="00000000"/>
    <w:embedRegular r:id="rId6" w:fontKey="{FF3604D1-9A7E-4A29-A2DC-564A25ABAA07}"/>
  </w:font>
  <w:font w:name="方正仿宋_GBK">
    <w:panose1 w:val="03000509000000000000"/>
    <w:charset w:val="86"/>
    <w:family w:val="script"/>
    <w:pitch w:val="default"/>
    <w:sig w:usb0="00000001" w:usb1="080E0000" w:usb2="00000000" w:usb3="00000000" w:csb0="00040000" w:csb1="00000000"/>
    <w:embedRegular r:id="rId7" w:fontKey="{26880837-7BEE-4564-B8B8-92AEBB3D8706}"/>
  </w:font>
  <w:font w:name="楷体_GB2312">
    <w:panose1 w:val="02010609030101010101"/>
    <w:charset w:val="86"/>
    <w:family w:val="modern"/>
    <w:pitch w:val="default"/>
    <w:sig w:usb0="00000001" w:usb1="080E0000" w:usb2="00000000" w:usb3="00000000" w:csb0="00040000" w:csb1="00000000"/>
    <w:embedRegular r:id="rId8" w:fontKey="{12BA06BA-9BA1-4D5E-B92D-31C3E486D4E7}"/>
  </w:font>
  <w:font w:name="方正楷体_GB2312">
    <w:panose1 w:val="02000000000000000000"/>
    <w:charset w:val="86"/>
    <w:family w:val="auto"/>
    <w:pitch w:val="default"/>
    <w:sig w:usb0="A00002BF" w:usb1="184F6CFA" w:usb2="00000012" w:usb3="00000000" w:csb0="00040001" w:csb1="00000000"/>
    <w:embedRegular r:id="rId9" w:fontKey="{DA8AFB63-61CD-4AAC-9433-F9BE579F4D1A}"/>
  </w:font>
  <w:font w:name="WPSEMBED1">
    <w:panose1 w:val="02000000000000000000"/>
    <w:charset w:val="86"/>
    <w:family w:val="auto"/>
    <w:pitch w:val="default"/>
    <w:sig w:usb0="A00002BF" w:usb1="184F6CFA"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EE80B0">
    <w:pPr>
      <w:tabs>
        <w:tab w:val="center" w:pos="4153"/>
        <w:tab w:val="right" w:pos="8306"/>
      </w:tabs>
      <w:ind w:firstLine="0" w:firstLineChars="0"/>
    </w:pP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3B3000F">
                          <w:pPr>
                            <w:pStyle w:val="9"/>
                            <w:ind w:firstLine="360"/>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q/o+UsAgAAV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yr+j5SwCAABVBAAADgAAAAAAAAABACAAAAAfAQAAZHJzL2Uyb0RvYy54bWxQSwUGAAAAAAYA&#10;BgBZAQAAvQUAAAAA&#10;">
              <v:fill on="f" focussize="0,0"/>
              <v:stroke on="f" weight="0.5pt"/>
              <v:imagedata o:title=""/>
              <o:lock v:ext="edit" aspectratio="f"/>
              <v:textbox inset="0mm,0mm,0mm,0mm" style="mso-fit-shape-to-text:t;">
                <w:txbxContent>
                  <w:p w14:paraId="53B3000F">
                    <w:pPr>
                      <w:pStyle w:val="9"/>
                      <w:ind w:firstLine="360"/>
                    </w:pPr>
                  </w:p>
                </w:txbxContent>
              </v:textbox>
            </v:shape>
          </w:pict>
        </mc:Fallback>
      </mc:AlternateContent>
    </w: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B3124EE">
                          <w:pPr>
                            <w:pStyle w:val="9"/>
                            <w:ind w:firstLine="360"/>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0O3bcsAgAAV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vQ7dtywCAABVBAAADgAAAAAAAAABACAAAAAfAQAAZHJzL2Uyb0RvYy54bWxQSwUGAAAAAAYA&#10;BgBZAQAAvQUAAAAA&#10;">
              <v:fill on="f" focussize="0,0"/>
              <v:stroke on="f" weight="0.5pt"/>
              <v:imagedata o:title=""/>
              <o:lock v:ext="edit" aspectratio="f"/>
              <v:textbox inset="0mm,0mm,0mm,0mm" style="mso-fit-shape-to-text:t;">
                <w:txbxContent>
                  <w:p w14:paraId="0B3124EE">
                    <w:pPr>
                      <w:pStyle w:val="9"/>
                      <w:ind w:firstLine="360"/>
                    </w:pPr>
                  </w:p>
                </w:txbxContent>
              </v:textbox>
            </v:shape>
          </w:pict>
        </mc:Fallback>
      </mc:AlternateContent>
    </w:r>
    <w:r>
      <w:rPr>
        <w:sz w:val="18"/>
      </w:rPr>
      <mc:AlternateContent>
        <mc:Choice Requires="wps">
          <w:drawing>
            <wp:anchor distT="0" distB="0" distL="0" distR="0" simplePos="0" relativeHeight="251659264" behindDoc="0" locked="0" layoutInCell="1" allowOverlap="1">
              <wp:simplePos x="0" y="0"/>
              <wp:positionH relativeFrom="margin">
                <wp:align>center</wp:align>
              </wp:positionH>
              <wp:positionV relativeFrom="paragraph">
                <wp:posOffset>0</wp:posOffset>
              </wp:positionV>
              <wp:extent cx="1828800" cy="193040"/>
              <wp:effectExtent l="0" t="0" r="0" b="0"/>
              <wp:wrapNone/>
              <wp:docPr id="4" name="文本框 3"/>
              <wp:cNvGraphicFramePr/>
              <a:graphic xmlns:a="http://schemas.openxmlformats.org/drawingml/2006/main">
                <a:graphicData uri="http://schemas.microsoft.com/office/word/2010/wordprocessingShape">
                  <wps:wsp>
                    <wps:cNvSpPr/>
                    <wps:spPr>
                      <a:xfrm>
                        <a:off x="0" y="0"/>
                        <a:ext cx="1828800" cy="193040"/>
                      </a:xfrm>
                      <a:prstGeom prst="rect">
                        <a:avLst/>
                      </a:prstGeom>
                      <a:ln>
                        <a:noFill/>
                      </a:ln>
                    </wps:spPr>
                    <wps:txbx>
                      <w:txbxContent>
                        <w:p w14:paraId="175DAE7E">
                          <w:pPr>
                            <w:pStyle w:val="31"/>
                            <w:rPr>
                              <w:rFonts w:hint="eastAsia"/>
                            </w:rPr>
                          </w:pPr>
                        </w:p>
                      </w:txbxContent>
                    </wps:txbx>
                    <wps:bodyPr vert="horz" wrap="none" lIns="0" tIns="0" rIns="0" bIns="0" anchor="t">
                      <a:noAutofit/>
                    </wps:bodyPr>
                  </wps:wsp>
                </a:graphicData>
              </a:graphic>
            </wp:anchor>
          </w:drawing>
        </mc:Choice>
        <mc:Fallback>
          <w:pict>
            <v:rect id="文本框 3" o:spid="_x0000_s1026" o:spt="1" style="position:absolute;left:0pt;margin-top:0pt;height:15.2pt;width:144pt;mso-position-horizontal:center;mso-position-horizontal-relative:margin;mso-wrap-style:none;z-index:251659264;mso-width-relative:page;mso-height-relative:page;" filled="f" stroked="f" coordsize="21600,21600" o:gfxdata="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ODilirUAAAABAEAAA8AAAAAAAAAAQAgAAAAIgAAAGRycy9k&#10;b3ducmV2LnhtbFBLAQIUABQAAAAIAIdO4kAC7K+7zQEAAI4DAAAOAAAAAAAAAAEAIAAAACMBAABk&#10;cnMvZTJvRG9jLnhtbFBLBQYAAAAABgAGAFkBAABiBQAAAAA=&#10;">
              <v:fill on="f" focussize="0,0"/>
              <v:stroke on="f"/>
              <v:imagedata o:title=""/>
              <o:lock v:ext="edit" aspectratio="f"/>
              <v:textbox inset="0mm,0mm,0mm,0mm">
                <w:txbxContent>
                  <w:p w14:paraId="175DAE7E">
                    <w:pPr>
                      <w:pStyle w:val="31"/>
                      <w:rPr>
                        <w:rFonts w:hint="eastAsia"/>
                      </w:rPr>
                    </w:pPr>
                  </w:p>
                </w:txbxContent>
              </v:textbox>
            </v:rect>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2E235A">
    <w:pPr>
      <w:pStyle w:val="9"/>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1A2871">
    <w:pPr>
      <w:pStyle w:val="9"/>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B67587">
    <w:pPr>
      <w:tabs>
        <w:tab w:val="center" w:pos="4153"/>
        <w:tab w:val="right" w:pos="8306"/>
      </w:tabs>
      <w:ind w:firstLine="0" w:firstLineChars="0"/>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8EDB0B6">
                          <w:pPr>
                            <w:pStyle w:val="9"/>
                            <w:ind w:firstLine="0" w:firstLineChars="0"/>
                          </w:pP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ILIswsAgAAVwQAAA4AAABkcnMvZTJvRG9jLnhtbK1UzY7TMBC+I/EO&#10;lu80bVes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MgsizCwCAABXBAAADgAAAAAAAAABACAAAAAfAQAAZHJzL2Uyb0RvYy54bWxQSwUGAAAAAAYA&#10;BgBZAQAAvQUAAAAA&#10;">
              <v:fill on="f" focussize="0,0"/>
              <v:stroke on="f" weight="0.5pt"/>
              <v:imagedata o:title=""/>
              <o:lock v:ext="edit" aspectratio="f"/>
              <v:textbox inset="0mm,0mm,0mm,0mm" style="mso-fit-shape-to-text:t;">
                <w:txbxContent>
                  <w:p w14:paraId="78EDB0B6">
                    <w:pPr>
                      <w:pStyle w:val="9"/>
                      <w:ind w:firstLine="0" w:firstLineChars="0"/>
                    </w:pP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p>
                </w:txbxContent>
              </v:textbox>
            </v:shape>
          </w:pict>
        </mc:Fallback>
      </mc:AlternateContent>
    </w:r>
    <w:r>
      <w:rPr>
        <w:sz w:val="18"/>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262A5E1">
                          <w:pPr>
                            <w:pStyle w:val="9"/>
                            <w:ind w:firstLine="360"/>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K+3r1iwCAABXBAAADgAAAAAAAAABACAAAAAfAQAAZHJzL2Uyb0RvYy54bWxQSwUGAAAAAAYA&#10;BgBZAQAAvQUAAAAA&#10;">
              <v:fill on="f" focussize="0,0"/>
              <v:stroke on="f" weight="0.5pt"/>
              <v:imagedata o:title=""/>
              <o:lock v:ext="edit" aspectratio="f"/>
              <v:textbox inset="0mm,0mm,0mm,0mm" style="mso-fit-shape-to-text:t;">
                <w:txbxContent>
                  <w:p w14:paraId="3262A5E1">
                    <w:pPr>
                      <w:pStyle w:val="9"/>
                      <w:ind w:firstLine="360"/>
                    </w:pPr>
                  </w:p>
                </w:txbxContent>
              </v:textbox>
            </v:shape>
          </w:pict>
        </mc:Fallback>
      </mc:AlternateContent>
    </w:r>
    <w:r>
      <w:rPr>
        <w:sz w:val="18"/>
      </w:rPr>
      <mc:AlternateContent>
        <mc:Choice Requires="wps">
          <w:drawing>
            <wp:anchor distT="0" distB="0" distL="0" distR="0" simplePos="0" relativeHeight="251665408" behindDoc="0" locked="0" layoutInCell="1" allowOverlap="1">
              <wp:simplePos x="0" y="0"/>
              <wp:positionH relativeFrom="margin">
                <wp:align>center</wp:align>
              </wp:positionH>
              <wp:positionV relativeFrom="paragraph">
                <wp:posOffset>0</wp:posOffset>
              </wp:positionV>
              <wp:extent cx="1828800" cy="193040"/>
              <wp:effectExtent l="0" t="0" r="0" b="0"/>
              <wp:wrapNone/>
              <wp:docPr id="15" name="文本框 3"/>
              <wp:cNvGraphicFramePr/>
              <a:graphic xmlns:a="http://schemas.openxmlformats.org/drawingml/2006/main">
                <a:graphicData uri="http://schemas.microsoft.com/office/word/2010/wordprocessingShape">
                  <wps:wsp>
                    <wps:cNvSpPr/>
                    <wps:spPr>
                      <a:xfrm>
                        <a:off x="0" y="0"/>
                        <a:ext cx="1828800" cy="193040"/>
                      </a:xfrm>
                      <a:prstGeom prst="rect">
                        <a:avLst/>
                      </a:prstGeom>
                      <a:ln>
                        <a:noFill/>
                      </a:ln>
                    </wps:spPr>
                    <wps:txbx>
                      <w:txbxContent>
                        <w:p w14:paraId="61EF63E9">
                          <w:pPr>
                            <w:pStyle w:val="31"/>
                            <w:rPr>
                              <w:rFonts w:hint="eastAsia"/>
                            </w:rPr>
                          </w:pPr>
                        </w:p>
                      </w:txbxContent>
                    </wps:txbx>
                    <wps:bodyPr vert="horz" wrap="none" lIns="0" tIns="0" rIns="0" bIns="0" anchor="t">
                      <a:noAutofit/>
                    </wps:bodyPr>
                  </wps:wsp>
                </a:graphicData>
              </a:graphic>
            </wp:anchor>
          </w:drawing>
        </mc:Choice>
        <mc:Fallback>
          <w:pict>
            <v:rect id="文本框 3" o:spid="_x0000_s1026" o:spt="1" style="position:absolute;left:0pt;margin-top:0pt;height:15.2pt;width:144pt;mso-position-horizontal:center;mso-position-horizontal-relative:margin;mso-wrap-style:none;z-index:251665408;mso-width-relative:page;mso-height-relative:page;" filled="f" stroked="f" coordsize="21600,21600" o:gfxdata="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ODilirUAAAABAEAAA8AAAAAAAAAAQAgAAAAIgAAAGRycy9k&#10;b3ducmV2LnhtbFBLAQIUABQAAAAIAIdO4kC43MzszQEAAI8DAAAOAAAAAAAAAAEAIAAAACMBAABk&#10;cnMvZTJvRG9jLnhtbFBLBQYAAAAABgAGAFkBAABiBQAAAAA=&#10;">
              <v:fill on="f" focussize="0,0"/>
              <v:stroke on="f"/>
              <v:imagedata o:title=""/>
              <o:lock v:ext="edit" aspectratio="f"/>
              <v:textbox inset="0mm,0mm,0mm,0mm">
                <w:txbxContent>
                  <w:p w14:paraId="61EF63E9">
                    <w:pPr>
                      <w:pStyle w:val="31"/>
                      <w:rPr>
                        <w:rFonts w:hint="eastAsia"/>
                      </w:rPr>
                    </w:pPr>
                  </w:p>
                </w:txbxContent>
              </v:textbox>
            </v:rect>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FE2C1E">
    <w:pPr>
      <w:tabs>
        <w:tab w:val="center" w:pos="4153"/>
        <w:tab w:val="right" w:pos="8306"/>
      </w:tabs>
      <w:ind w:firstLine="0" w:firstLineChars="0"/>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4940812">
                          <w:pPr>
                            <w:pStyle w:val="9"/>
                            <w:ind w:firstLine="0" w:firstLineChars="0"/>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66C/ssAgAAV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nroL+ywCAABVBAAADgAAAAAAAAABACAAAAAfAQAAZHJzL2Uyb0RvYy54bWxQSwUGAAAAAAYA&#10;BgBZAQAAvQUAAAAA&#10;">
              <v:fill on="f" focussize="0,0"/>
              <v:stroke on="f" weight="0.5pt"/>
              <v:imagedata o:title=""/>
              <o:lock v:ext="edit" aspectratio="f"/>
              <v:textbox inset="0mm,0mm,0mm,0mm" style="mso-fit-shape-to-text:t;">
                <w:txbxContent>
                  <w:p w14:paraId="14940812">
                    <w:pPr>
                      <w:pStyle w:val="9"/>
                      <w:ind w:firstLine="0" w:firstLineChars="0"/>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v:textbox>
            </v:shape>
          </w:pict>
        </mc:Fallback>
      </mc:AlternateContent>
    </w: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3505C9A">
                          <w:pPr>
                            <w:pStyle w:val="9"/>
                            <w:ind w:firstLine="360"/>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9j2DAsAgAAV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r2PYMCwCAABVBAAADgAAAAAAAAABACAAAAAfAQAAZHJzL2Uyb0RvYy54bWxQSwUGAAAAAAYA&#10;BgBZAQAAvQUAAAAA&#10;">
              <v:fill on="f" focussize="0,0"/>
              <v:stroke on="f" weight="0.5pt"/>
              <v:imagedata o:title=""/>
              <o:lock v:ext="edit" aspectratio="f"/>
              <v:textbox inset="0mm,0mm,0mm,0mm" style="mso-fit-shape-to-text:t;">
                <w:txbxContent>
                  <w:p w14:paraId="23505C9A">
                    <w:pPr>
                      <w:pStyle w:val="9"/>
                      <w:ind w:firstLine="360"/>
                    </w:pPr>
                  </w:p>
                </w:txbxContent>
              </v:textbox>
            </v:shape>
          </w:pict>
        </mc:Fallback>
      </mc:AlternateContent>
    </w:r>
    <w:r>
      <w:rPr>
        <w:sz w:val="18"/>
      </w:rPr>
      <mc:AlternateContent>
        <mc:Choice Requires="wps">
          <w:drawing>
            <wp:anchor distT="0" distB="0" distL="0" distR="0" simplePos="0" relativeHeight="251660288" behindDoc="0" locked="0" layoutInCell="1" allowOverlap="1">
              <wp:simplePos x="0" y="0"/>
              <wp:positionH relativeFrom="margin">
                <wp:align>center</wp:align>
              </wp:positionH>
              <wp:positionV relativeFrom="paragraph">
                <wp:posOffset>0</wp:posOffset>
              </wp:positionV>
              <wp:extent cx="1828800" cy="193040"/>
              <wp:effectExtent l="0" t="0" r="0" b="0"/>
              <wp:wrapNone/>
              <wp:docPr id="6" name="文本框 3"/>
              <wp:cNvGraphicFramePr/>
              <a:graphic xmlns:a="http://schemas.openxmlformats.org/drawingml/2006/main">
                <a:graphicData uri="http://schemas.microsoft.com/office/word/2010/wordprocessingShape">
                  <wps:wsp>
                    <wps:cNvSpPr/>
                    <wps:spPr>
                      <a:xfrm>
                        <a:off x="0" y="0"/>
                        <a:ext cx="1828800" cy="193040"/>
                      </a:xfrm>
                      <a:prstGeom prst="rect">
                        <a:avLst/>
                      </a:prstGeom>
                      <a:ln>
                        <a:noFill/>
                      </a:ln>
                    </wps:spPr>
                    <wps:txbx>
                      <w:txbxContent>
                        <w:p w14:paraId="79FAD8C6">
                          <w:pPr>
                            <w:pStyle w:val="31"/>
                            <w:rPr>
                              <w:rFonts w:hint="eastAsia"/>
                            </w:rPr>
                          </w:pPr>
                        </w:p>
                      </w:txbxContent>
                    </wps:txbx>
                    <wps:bodyPr vert="horz" wrap="none" lIns="0" tIns="0" rIns="0" bIns="0" anchor="t">
                      <a:noAutofit/>
                    </wps:bodyPr>
                  </wps:wsp>
                </a:graphicData>
              </a:graphic>
            </wp:anchor>
          </w:drawing>
        </mc:Choice>
        <mc:Fallback>
          <w:pict>
            <v:rect id="文本框 3" o:spid="_x0000_s1026" o:spt="1" style="position:absolute;left:0pt;margin-top:0pt;height:15.2pt;width:144pt;mso-position-horizontal:center;mso-position-horizontal-relative:margin;mso-wrap-style:none;z-index:251660288;mso-width-relative:page;mso-height-relative:page;" filled="f" stroked="f" coordsize="21600,21600" o:gfxdata="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ODilirUAAAABAEAAA8AAAAAAAAAAQAgAAAAIgAAAGRycy9k&#10;b3ducmV2LnhtbFBLAQIUABQAAAAIAIdO4kAW4cg0zQEAAI4DAAAOAAAAAAAAAAEAIAAAACMBAABk&#10;cnMvZTJvRG9jLnhtbFBLBQYAAAAABgAGAFkBAABiBQAAAAA=&#10;">
              <v:fill on="f" focussize="0,0"/>
              <v:stroke on="f"/>
              <v:imagedata o:title=""/>
              <o:lock v:ext="edit" aspectratio="f"/>
              <v:textbox inset="0mm,0mm,0mm,0mm">
                <w:txbxContent>
                  <w:p w14:paraId="79FAD8C6">
                    <w:pPr>
                      <w:pStyle w:val="31"/>
                      <w:rPr>
                        <w:rFonts w:hint="eastAsia"/>
                      </w:rPr>
                    </w:pPr>
                  </w:p>
                </w:txbxContent>
              </v:textbox>
            </v:rect>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611CA5">
    <w:pPr>
      <w:pStyle w:val="9"/>
      <w:ind w:firstLine="0" w:firstLineChars="0"/>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B304495">
                          <w:pPr>
                            <w:pStyle w:val="9"/>
                            <w:ind w:firstLine="0" w:firstLineChars="0"/>
                            <w:jc w:val="center"/>
                            <w:rPr>
                              <w:rFonts w:hint="eastAsia" w:ascii="宋体" w:hAnsi="宋体" w:eastAsia="宋体" w:cs="宋体"/>
                              <w:sz w:val="28"/>
                              <w:szCs w:val="44"/>
                            </w:rPr>
                          </w:pPr>
                          <w:r>
                            <w:rPr>
                              <w:rFonts w:hint="eastAsia" w:ascii="宋体" w:hAnsi="宋体" w:eastAsia="宋体" w:cs="宋体"/>
                              <w:sz w:val="28"/>
                              <w:szCs w:val="44"/>
                            </w:rPr>
                            <w:fldChar w:fldCharType="begin"/>
                          </w:r>
                          <w:r>
                            <w:rPr>
                              <w:rFonts w:hint="eastAsia" w:ascii="宋体" w:hAnsi="宋体" w:eastAsia="宋体" w:cs="宋体"/>
                              <w:sz w:val="28"/>
                              <w:szCs w:val="44"/>
                            </w:rPr>
                            <w:instrText xml:space="preserve"> PAGE  \* MERGEFORMAT </w:instrText>
                          </w:r>
                          <w:r>
                            <w:rPr>
                              <w:rFonts w:hint="eastAsia" w:ascii="宋体" w:hAnsi="宋体" w:eastAsia="宋体" w:cs="宋体"/>
                              <w:sz w:val="28"/>
                              <w:szCs w:val="44"/>
                            </w:rPr>
                            <w:fldChar w:fldCharType="separate"/>
                          </w:r>
                          <w:r>
                            <w:rPr>
                              <w:rFonts w:hint="eastAsia" w:ascii="宋体" w:hAnsi="宋体" w:eastAsia="宋体" w:cs="宋体"/>
                              <w:sz w:val="28"/>
                              <w:szCs w:val="44"/>
                            </w:rPr>
                            <w:t>2</w:t>
                          </w:r>
                          <w:r>
                            <w:rPr>
                              <w:rFonts w:hint="eastAsia" w:ascii="宋体" w:hAnsi="宋体" w:eastAsia="宋体" w:cs="宋体"/>
                              <w:sz w:val="28"/>
                              <w:szCs w:val="44"/>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6B304495">
                    <w:pPr>
                      <w:pStyle w:val="9"/>
                      <w:ind w:firstLine="0" w:firstLineChars="0"/>
                      <w:jc w:val="center"/>
                      <w:rPr>
                        <w:rFonts w:hint="eastAsia" w:ascii="宋体" w:hAnsi="宋体" w:eastAsia="宋体" w:cs="宋体"/>
                        <w:sz w:val="28"/>
                        <w:szCs w:val="44"/>
                      </w:rPr>
                    </w:pPr>
                    <w:r>
                      <w:rPr>
                        <w:rFonts w:hint="eastAsia" w:ascii="宋体" w:hAnsi="宋体" w:eastAsia="宋体" w:cs="宋体"/>
                        <w:sz w:val="28"/>
                        <w:szCs w:val="44"/>
                      </w:rPr>
                      <w:fldChar w:fldCharType="begin"/>
                    </w:r>
                    <w:r>
                      <w:rPr>
                        <w:rFonts w:hint="eastAsia" w:ascii="宋体" w:hAnsi="宋体" w:eastAsia="宋体" w:cs="宋体"/>
                        <w:sz w:val="28"/>
                        <w:szCs w:val="44"/>
                      </w:rPr>
                      <w:instrText xml:space="preserve"> PAGE  \* MERGEFORMAT </w:instrText>
                    </w:r>
                    <w:r>
                      <w:rPr>
                        <w:rFonts w:hint="eastAsia" w:ascii="宋体" w:hAnsi="宋体" w:eastAsia="宋体" w:cs="宋体"/>
                        <w:sz w:val="28"/>
                        <w:szCs w:val="44"/>
                      </w:rPr>
                      <w:fldChar w:fldCharType="separate"/>
                    </w:r>
                    <w:r>
                      <w:rPr>
                        <w:rFonts w:hint="eastAsia" w:ascii="宋体" w:hAnsi="宋体" w:eastAsia="宋体" w:cs="宋体"/>
                        <w:sz w:val="28"/>
                        <w:szCs w:val="44"/>
                      </w:rPr>
                      <w:t>2</w:t>
                    </w:r>
                    <w:r>
                      <w:rPr>
                        <w:rFonts w:hint="eastAsia" w:ascii="宋体" w:hAnsi="宋体" w:eastAsia="宋体" w:cs="宋体"/>
                        <w:sz w:val="28"/>
                        <w:szCs w:val="44"/>
                      </w:rP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7E69890">
    <w:pPr>
      <w:pStyle w:val="10"/>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845CCD">
    <w:pPr>
      <w:pStyle w:val="10"/>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EF1052">
    <w:pPr>
      <w:pStyle w:val="10"/>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C0E2F5F"/>
    <w:multiLevelType w:val="singleLevel"/>
    <w:tmpl w:val="3C0E2F5F"/>
    <w:lvl w:ilvl="0" w:tentative="0">
      <w:start w:val="1"/>
      <w:numFmt w:val="decimal"/>
      <w:suff w:val="nothing"/>
      <w:lvlText w:val="%1．"/>
      <w:lvlJc w:val="left"/>
      <w:pPr>
        <w:ind w:left="0" w:firstLine="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documentProtection w:enforcement="0"/>
  <w:defaultTabStop w:val="420"/>
  <w:drawingGridVerticalSpacing w:val="156"/>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172A27"/>
    <w:rsid w:val="001B4C81"/>
    <w:rsid w:val="002054E9"/>
    <w:rsid w:val="00427412"/>
    <w:rsid w:val="004F56F8"/>
    <w:rsid w:val="0057047C"/>
    <w:rsid w:val="00654785"/>
    <w:rsid w:val="00661709"/>
    <w:rsid w:val="00675481"/>
    <w:rsid w:val="008C7986"/>
    <w:rsid w:val="008E6091"/>
    <w:rsid w:val="0093763E"/>
    <w:rsid w:val="00990B03"/>
    <w:rsid w:val="009E710D"/>
    <w:rsid w:val="00A76622"/>
    <w:rsid w:val="00B2494E"/>
    <w:rsid w:val="00C9087C"/>
    <w:rsid w:val="00CE46FF"/>
    <w:rsid w:val="00CF44DA"/>
    <w:rsid w:val="00E56E7B"/>
    <w:rsid w:val="00F574A2"/>
    <w:rsid w:val="00F661CB"/>
    <w:rsid w:val="011358A3"/>
    <w:rsid w:val="012F5394"/>
    <w:rsid w:val="01310E11"/>
    <w:rsid w:val="013F3EEC"/>
    <w:rsid w:val="01423AFC"/>
    <w:rsid w:val="01492E5B"/>
    <w:rsid w:val="015772A4"/>
    <w:rsid w:val="0167511D"/>
    <w:rsid w:val="017003AC"/>
    <w:rsid w:val="01797A07"/>
    <w:rsid w:val="01A164E9"/>
    <w:rsid w:val="01B97DB0"/>
    <w:rsid w:val="01E27A17"/>
    <w:rsid w:val="01F4295B"/>
    <w:rsid w:val="01FF4C85"/>
    <w:rsid w:val="02021905"/>
    <w:rsid w:val="020856C2"/>
    <w:rsid w:val="021324DF"/>
    <w:rsid w:val="023F66B6"/>
    <w:rsid w:val="02430DFA"/>
    <w:rsid w:val="02517413"/>
    <w:rsid w:val="025A7AAC"/>
    <w:rsid w:val="025F0BF3"/>
    <w:rsid w:val="027456AC"/>
    <w:rsid w:val="027E3FB9"/>
    <w:rsid w:val="02A75CCA"/>
    <w:rsid w:val="02B85936"/>
    <w:rsid w:val="02CC2843"/>
    <w:rsid w:val="02CE17E8"/>
    <w:rsid w:val="02FA25DD"/>
    <w:rsid w:val="03103BAE"/>
    <w:rsid w:val="03112146"/>
    <w:rsid w:val="032F7A50"/>
    <w:rsid w:val="03363AFE"/>
    <w:rsid w:val="033A0B8B"/>
    <w:rsid w:val="03507A72"/>
    <w:rsid w:val="03782EB8"/>
    <w:rsid w:val="03964B53"/>
    <w:rsid w:val="03B10EED"/>
    <w:rsid w:val="03BC50E0"/>
    <w:rsid w:val="03D80B70"/>
    <w:rsid w:val="03E17634"/>
    <w:rsid w:val="04001224"/>
    <w:rsid w:val="04007BB3"/>
    <w:rsid w:val="04395ECC"/>
    <w:rsid w:val="047317DA"/>
    <w:rsid w:val="048218F2"/>
    <w:rsid w:val="049277B6"/>
    <w:rsid w:val="0493611B"/>
    <w:rsid w:val="04A84437"/>
    <w:rsid w:val="04A9250C"/>
    <w:rsid w:val="04B221A5"/>
    <w:rsid w:val="04B50EB1"/>
    <w:rsid w:val="04B53003"/>
    <w:rsid w:val="04C37942"/>
    <w:rsid w:val="0524776A"/>
    <w:rsid w:val="052F267F"/>
    <w:rsid w:val="054D10EA"/>
    <w:rsid w:val="05521222"/>
    <w:rsid w:val="056E3112"/>
    <w:rsid w:val="059F368D"/>
    <w:rsid w:val="05A16D6F"/>
    <w:rsid w:val="05A36F5B"/>
    <w:rsid w:val="05B66BD1"/>
    <w:rsid w:val="05E12A53"/>
    <w:rsid w:val="05F04A30"/>
    <w:rsid w:val="05F358F7"/>
    <w:rsid w:val="05FA65AD"/>
    <w:rsid w:val="060A52AE"/>
    <w:rsid w:val="060C10B3"/>
    <w:rsid w:val="06210165"/>
    <w:rsid w:val="064F69BA"/>
    <w:rsid w:val="06710E08"/>
    <w:rsid w:val="067B3A34"/>
    <w:rsid w:val="067D59FE"/>
    <w:rsid w:val="068A06F1"/>
    <w:rsid w:val="06BA2B59"/>
    <w:rsid w:val="06C72834"/>
    <w:rsid w:val="06C8772F"/>
    <w:rsid w:val="06CE0008"/>
    <w:rsid w:val="06CF014C"/>
    <w:rsid w:val="06F02EE2"/>
    <w:rsid w:val="06FA2FF5"/>
    <w:rsid w:val="06FD08ED"/>
    <w:rsid w:val="07377C75"/>
    <w:rsid w:val="073825A1"/>
    <w:rsid w:val="0744483D"/>
    <w:rsid w:val="074455BF"/>
    <w:rsid w:val="075C448F"/>
    <w:rsid w:val="07627FDE"/>
    <w:rsid w:val="078261B4"/>
    <w:rsid w:val="0791652A"/>
    <w:rsid w:val="07A46BCC"/>
    <w:rsid w:val="07A72E30"/>
    <w:rsid w:val="07A82607"/>
    <w:rsid w:val="07B423C8"/>
    <w:rsid w:val="07B54D24"/>
    <w:rsid w:val="07C11432"/>
    <w:rsid w:val="07ED44BE"/>
    <w:rsid w:val="07F5348B"/>
    <w:rsid w:val="07F81C27"/>
    <w:rsid w:val="07FB6BDB"/>
    <w:rsid w:val="081F29A0"/>
    <w:rsid w:val="08263C85"/>
    <w:rsid w:val="08375005"/>
    <w:rsid w:val="08745B19"/>
    <w:rsid w:val="08A12171"/>
    <w:rsid w:val="08A13FE4"/>
    <w:rsid w:val="08AC0D8E"/>
    <w:rsid w:val="08B05150"/>
    <w:rsid w:val="08CE31E6"/>
    <w:rsid w:val="08E46260"/>
    <w:rsid w:val="09015152"/>
    <w:rsid w:val="09061CDB"/>
    <w:rsid w:val="091D6815"/>
    <w:rsid w:val="09293C1C"/>
    <w:rsid w:val="092E4D8E"/>
    <w:rsid w:val="09343C10"/>
    <w:rsid w:val="09497E1A"/>
    <w:rsid w:val="095F2C44"/>
    <w:rsid w:val="09616F12"/>
    <w:rsid w:val="09802160"/>
    <w:rsid w:val="099F29DC"/>
    <w:rsid w:val="09AF794C"/>
    <w:rsid w:val="09CC23C9"/>
    <w:rsid w:val="09CF33A6"/>
    <w:rsid w:val="09D35754"/>
    <w:rsid w:val="09E81BCC"/>
    <w:rsid w:val="0A073777"/>
    <w:rsid w:val="0A0A75A9"/>
    <w:rsid w:val="0A106E6A"/>
    <w:rsid w:val="0A163EBA"/>
    <w:rsid w:val="0A441E85"/>
    <w:rsid w:val="0A6911BB"/>
    <w:rsid w:val="0A791D37"/>
    <w:rsid w:val="0A851326"/>
    <w:rsid w:val="0A860D02"/>
    <w:rsid w:val="0A997C53"/>
    <w:rsid w:val="0AB614DF"/>
    <w:rsid w:val="0ABE3A4A"/>
    <w:rsid w:val="0ACF61B8"/>
    <w:rsid w:val="0AFB5144"/>
    <w:rsid w:val="0AFC575A"/>
    <w:rsid w:val="0B0A01C7"/>
    <w:rsid w:val="0B1B2907"/>
    <w:rsid w:val="0B363E27"/>
    <w:rsid w:val="0B5205EC"/>
    <w:rsid w:val="0B660BB1"/>
    <w:rsid w:val="0BB60295"/>
    <w:rsid w:val="0BB75607"/>
    <w:rsid w:val="0BBC48D3"/>
    <w:rsid w:val="0BBE689D"/>
    <w:rsid w:val="0BFE4D20"/>
    <w:rsid w:val="0C0679C8"/>
    <w:rsid w:val="0C1E48CE"/>
    <w:rsid w:val="0C201306"/>
    <w:rsid w:val="0C234952"/>
    <w:rsid w:val="0C264F9D"/>
    <w:rsid w:val="0C4002E5"/>
    <w:rsid w:val="0C554E4C"/>
    <w:rsid w:val="0C591408"/>
    <w:rsid w:val="0C5C0C1F"/>
    <w:rsid w:val="0C6B7518"/>
    <w:rsid w:val="0C874EE1"/>
    <w:rsid w:val="0C8B1AD2"/>
    <w:rsid w:val="0C9C4044"/>
    <w:rsid w:val="0CA02447"/>
    <w:rsid w:val="0CAD33D6"/>
    <w:rsid w:val="0CB16691"/>
    <w:rsid w:val="0CDF4D1D"/>
    <w:rsid w:val="0CE86D26"/>
    <w:rsid w:val="0CF228C2"/>
    <w:rsid w:val="0CF63E15"/>
    <w:rsid w:val="0CFD3CAF"/>
    <w:rsid w:val="0D1A69DD"/>
    <w:rsid w:val="0D2C6318"/>
    <w:rsid w:val="0D351D50"/>
    <w:rsid w:val="0D365617"/>
    <w:rsid w:val="0D4E7527"/>
    <w:rsid w:val="0D532C44"/>
    <w:rsid w:val="0D5F19BA"/>
    <w:rsid w:val="0D7C2EB3"/>
    <w:rsid w:val="0D7D62E4"/>
    <w:rsid w:val="0D8C7E40"/>
    <w:rsid w:val="0DA2385C"/>
    <w:rsid w:val="0DB11ACB"/>
    <w:rsid w:val="0DB41559"/>
    <w:rsid w:val="0DD55785"/>
    <w:rsid w:val="0DDF1CCF"/>
    <w:rsid w:val="0E194F31"/>
    <w:rsid w:val="0E277F52"/>
    <w:rsid w:val="0E2D3866"/>
    <w:rsid w:val="0E3764C4"/>
    <w:rsid w:val="0E3A41D5"/>
    <w:rsid w:val="0E43308A"/>
    <w:rsid w:val="0E4868F2"/>
    <w:rsid w:val="0E53712E"/>
    <w:rsid w:val="0E682AF0"/>
    <w:rsid w:val="0E7C07BE"/>
    <w:rsid w:val="0E9F1E36"/>
    <w:rsid w:val="0EA13ADC"/>
    <w:rsid w:val="0EC920D0"/>
    <w:rsid w:val="0ED610D2"/>
    <w:rsid w:val="0EE228A3"/>
    <w:rsid w:val="0EF302BD"/>
    <w:rsid w:val="0F0E601C"/>
    <w:rsid w:val="0F3420B4"/>
    <w:rsid w:val="0F34579F"/>
    <w:rsid w:val="0F383090"/>
    <w:rsid w:val="0F582B65"/>
    <w:rsid w:val="0F5A3BE0"/>
    <w:rsid w:val="0F5C43D4"/>
    <w:rsid w:val="0F925DD6"/>
    <w:rsid w:val="0FD27B12"/>
    <w:rsid w:val="0FE773AC"/>
    <w:rsid w:val="0FEB42BE"/>
    <w:rsid w:val="0FED20FE"/>
    <w:rsid w:val="10134C24"/>
    <w:rsid w:val="101C555C"/>
    <w:rsid w:val="10237101"/>
    <w:rsid w:val="10265EFC"/>
    <w:rsid w:val="10335C69"/>
    <w:rsid w:val="10466E61"/>
    <w:rsid w:val="105A645A"/>
    <w:rsid w:val="10C55FD8"/>
    <w:rsid w:val="10C930B0"/>
    <w:rsid w:val="10D33F97"/>
    <w:rsid w:val="110732FE"/>
    <w:rsid w:val="114665ED"/>
    <w:rsid w:val="115A1662"/>
    <w:rsid w:val="116964B8"/>
    <w:rsid w:val="119B3665"/>
    <w:rsid w:val="11A33157"/>
    <w:rsid w:val="11B42658"/>
    <w:rsid w:val="11BA4801"/>
    <w:rsid w:val="11F64058"/>
    <w:rsid w:val="11F954F0"/>
    <w:rsid w:val="11FF23F6"/>
    <w:rsid w:val="12187562"/>
    <w:rsid w:val="12431B77"/>
    <w:rsid w:val="124374F8"/>
    <w:rsid w:val="124E0E47"/>
    <w:rsid w:val="12620AF1"/>
    <w:rsid w:val="127430FF"/>
    <w:rsid w:val="12850115"/>
    <w:rsid w:val="12883761"/>
    <w:rsid w:val="12A17B1F"/>
    <w:rsid w:val="12A904AC"/>
    <w:rsid w:val="12B24D6C"/>
    <w:rsid w:val="12C82E66"/>
    <w:rsid w:val="12DF4CD6"/>
    <w:rsid w:val="13387536"/>
    <w:rsid w:val="133C0B9D"/>
    <w:rsid w:val="1367458F"/>
    <w:rsid w:val="13983E78"/>
    <w:rsid w:val="139D3060"/>
    <w:rsid w:val="139F638B"/>
    <w:rsid w:val="13A42870"/>
    <w:rsid w:val="13B8172D"/>
    <w:rsid w:val="13D470FC"/>
    <w:rsid w:val="13D9661F"/>
    <w:rsid w:val="13EB1202"/>
    <w:rsid w:val="140C7C2C"/>
    <w:rsid w:val="14102C47"/>
    <w:rsid w:val="14143273"/>
    <w:rsid w:val="14145AED"/>
    <w:rsid w:val="141E29ED"/>
    <w:rsid w:val="14254E16"/>
    <w:rsid w:val="146F5C2A"/>
    <w:rsid w:val="14866813"/>
    <w:rsid w:val="14A5735E"/>
    <w:rsid w:val="14D81667"/>
    <w:rsid w:val="14F4761F"/>
    <w:rsid w:val="150674D2"/>
    <w:rsid w:val="154A5289"/>
    <w:rsid w:val="15536982"/>
    <w:rsid w:val="156B1876"/>
    <w:rsid w:val="156F6E5A"/>
    <w:rsid w:val="157B649F"/>
    <w:rsid w:val="159C414F"/>
    <w:rsid w:val="15A4687C"/>
    <w:rsid w:val="15A565B4"/>
    <w:rsid w:val="15BB524B"/>
    <w:rsid w:val="15C45D53"/>
    <w:rsid w:val="15DD7A73"/>
    <w:rsid w:val="1603092B"/>
    <w:rsid w:val="161C6D56"/>
    <w:rsid w:val="161F618A"/>
    <w:rsid w:val="1626040D"/>
    <w:rsid w:val="16300BB2"/>
    <w:rsid w:val="16334878"/>
    <w:rsid w:val="163559AE"/>
    <w:rsid w:val="163A1216"/>
    <w:rsid w:val="163B5CA6"/>
    <w:rsid w:val="1641188B"/>
    <w:rsid w:val="165215B9"/>
    <w:rsid w:val="16573B76"/>
    <w:rsid w:val="169E0CBC"/>
    <w:rsid w:val="16A6065A"/>
    <w:rsid w:val="16A83E29"/>
    <w:rsid w:val="16AC0262"/>
    <w:rsid w:val="16B56377"/>
    <w:rsid w:val="16DF3B6C"/>
    <w:rsid w:val="170224E4"/>
    <w:rsid w:val="1731510D"/>
    <w:rsid w:val="174D31CB"/>
    <w:rsid w:val="176136F5"/>
    <w:rsid w:val="17C4413B"/>
    <w:rsid w:val="17D063FE"/>
    <w:rsid w:val="180B26C9"/>
    <w:rsid w:val="180D2081"/>
    <w:rsid w:val="1845519B"/>
    <w:rsid w:val="185C5241"/>
    <w:rsid w:val="18686CB0"/>
    <w:rsid w:val="186F3CE5"/>
    <w:rsid w:val="187D23A1"/>
    <w:rsid w:val="18BF459A"/>
    <w:rsid w:val="18D52864"/>
    <w:rsid w:val="18D85C50"/>
    <w:rsid w:val="18F84792"/>
    <w:rsid w:val="190240E5"/>
    <w:rsid w:val="19056169"/>
    <w:rsid w:val="1914482F"/>
    <w:rsid w:val="19351919"/>
    <w:rsid w:val="19574F4F"/>
    <w:rsid w:val="197332A9"/>
    <w:rsid w:val="1991498A"/>
    <w:rsid w:val="19921369"/>
    <w:rsid w:val="19AF23A3"/>
    <w:rsid w:val="19D30F0E"/>
    <w:rsid w:val="19D32387"/>
    <w:rsid w:val="19F030A2"/>
    <w:rsid w:val="19F265BB"/>
    <w:rsid w:val="19FB6EE4"/>
    <w:rsid w:val="19FF69FF"/>
    <w:rsid w:val="1A1104E0"/>
    <w:rsid w:val="1A134FCE"/>
    <w:rsid w:val="1A2F142F"/>
    <w:rsid w:val="1A3348FA"/>
    <w:rsid w:val="1A5B481B"/>
    <w:rsid w:val="1A70497E"/>
    <w:rsid w:val="1A7F48BE"/>
    <w:rsid w:val="1A861CD4"/>
    <w:rsid w:val="1A9C249F"/>
    <w:rsid w:val="1ADE700B"/>
    <w:rsid w:val="1AEE58A2"/>
    <w:rsid w:val="1B035696"/>
    <w:rsid w:val="1B0855BE"/>
    <w:rsid w:val="1B195B99"/>
    <w:rsid w:val="1B224D7C"/>
    <w:rsid w:val="1B236E0E"/>
    <w:rsid w:val="1B3775C6"/>
    <w:rsid w:val="1B44679A"/>
    <w:rsid w:val="1B7D1034"/>
    <w:rsid w:val="1B820746"/>
    <w:rsid w:val="1B837CD7"/>
    <w:rsid w:val="1B9413C8"/>
    <w:rsid w:val="1BB45CF4"/>
    <w:rsid w:val="1BC240B3"/>
    <w:rsid w:val="1BE532A6"/>
    <w:rsid w:val="1BE943BC"/>
    <w:rsid w:val="1BEE7201"/>
    <w:rsid w:val="1C0C48A6"/>
    <w:rsid w:val="1C2B2711"/>
    <w:rsid w:val="1C350E8A"/>
    <w:rsid w:val="1C47627D"/>
    <w:rsid w:val="1C4C39E7"/>
    <w:rsid w:val="1C6E7FD1"/>
    <w:rsid w:val="1C84143D"/>
    <w:rsid w:val="1CAC6C3A"/>
    <w:rsid w:val="1CD373D3"/>
    <w:rsid w:val="1CD6156D"/>
    <w:rsid w:val="1CED5B58"/>
    <w:rsid w:val="1D0A4697"/>
    <w:rsid w:val="1D3338C4"/>
    <w:rsid w:val="1D994B07"/>
    <w:rsid w:val="1D9C6312"/>
    <w:rsid w:val="1DA91D5A"/>
    <w:rsid w:val="1DAC03AB"/>
    <w:rsid w:val="1DC00174"/>
    <w:rsid w:val="1DC11080"/>
    <w:rsid w:val="1DD540A9"/>
    <w:rsid w:val="1DE3727A"/>
    <w:rsid w:val="1DF503B3"/>
    <w:rsid w:val="1E0B0BB8"/>
    <w:rsid w:val="1E0D2544"/>
    <w:rsid w:val="1E3B0DA8"/>
    <w:rsid w:val="1E4C7D38"/>
    <w:rsid w:val="1E5E03FE"/>
    <w:rsid w:val="1E76065B"/>
    <w:rsid w:val="1E7B4390"/>
    <w:rsid w:val="1E817A1C"/>
    <w:rsid w:val="1EAC07BD"/>
    <w:rsid w:val="1EEA5004"/>
    <w:rsid w:val="1EEE7042"/>
    <w:rsid w:val="1EF076F1"/>
    <w:rsid w:val="1F0763F3"/>
    <w:rsid w:val="1F092C79"/>
    <w:rsid w:val="1F0C4D32"/>
    <w:rsid w:val="1F0F3064"/>
    <w:rsid w:val="1F1C77F0"/>
    <w:rsid w:val="1F267AF2"/>
    <w:rsid w:val="1F391E29"/>
    <w:rsid w:val="1F3C1B5B"/>
    <w:rsid w:val="1F465179"/>
    <w:rsid w:val="1F5B0172"/>
    <w:rsid w:val="1F613BB1"/>
    <w:rsid w:val="1F671366"/>
    <w:rsid w:val="1F785786"/>
    <w:rsid w:val="1F881244"/>
    <w:rsid w:val="1FBB5AE1"/>
    <w:rsid w:val="1FC97167"/>
    <w:rsid w:val="1FEC054C"/>
    <w:rsid w:val="1FFB025A"/>
    <w:rsid w:val="1FFF2121"/>
    <w:rsid w:val="200D5968"/>
    <w:rsid w:val="20155DB8"/>
    <w:rsid w:val="20184AC6"/>
    <w:rsid w:val="201900EE"/>
    <w:rsid w:val="201A2E18"/>
    <w:rsid w:val="20301BDA"/>
    <w:rsid w:val="20373EC3"/>
    <w:rsid w:val="204D580D"/>
    <w:rsid w:val="206C2914"/>
    <w:rsid w:val="20AF0BFF"/>
    <w:rsid w:val="20AF2D89"/>
    <w:rsid w:val="20B31DDB"/>
    <w:rsid w:val="20BD2E19"/>
    <w:rsid w:val="20E24984"/>
    <w:rsid w:val="20E6394D"/>
    <w:rsid w:val="20E92343"/>
    <w:rsid w:val="20EE2275"/>
    <w:rsid w:val="20FF3A34"/>
    <w:rsid w:val="2103455B"/>
    <w:rsid w:val="21380954"/>
    <w:rsid w:val="216F462D"/>
    <w:rsid w:val="21714607"/>
    <w:rsid w:val="217424ED"/>
    <w:rsid w:val="217A78F1"/>
    <w:rsid w:val="21821BB2"/>
    <w:rsid w:val="21867A05"/>
    <w:rsid w:val="21910967"/>
    <w:rsid w:val="219D41DC"/>
    <w:rsid w:val="21DA38AD"/>
    <w:rsid w:val="220D6A92"/>
    <w:rsid w:val="221F2B1E"/>
    <w:rsid w:val="22215FA2"/>
    <w:rsid w:val="22303358"/>
    <w:rsid w:val="22322BA7"/>
    <w:rsid w:val="225813BE"/>
    <w:rsid w:val="22606C37"/>
    <w:rsid w:val="226512BF"/>
    <w:rsid w:val="226D0969"/>
    <w:rsid w:val="228201CD"/>
    <w:rsid w:val="22B40A84"/>
    <w:rsid w:val="22C457A6"/>
    <w:rsid w:val="22CD1E34"/>
    <w:rsid w:val="22CD3C65"/>
    <w:rsid w:val="22D402FC"/>
    <w:rsid w:val="22E83DA8"/>
    <w:rsid w:val="2300620C"/>
    <w:rsid w:val="231A6657"/>
    <w:rsid w:val="231B0506"/>
    <w:rsid w:val="235F406A"/>
    <w:rsid w:val="23742497"/>
    <w:rsid w:val="237E164C"/>
    <w:rsid w:val="23863CED"/>
    <w:rsid w:val="23870EAF"/>
    <w:rsid w:val="23A11963"/>
    <w:rsid w:val="23A32805"/>
    <w:rsid w:val="23BF71FF"/>
    <w:rsid w:val="23C36EEC"/>
    <w:rsid w:val="23DD75C1"/>
    <w:rsid w:val="23E53E2A"/>
    <w:rsid w:val="240A6030"/>
    <w:rsid w:val="2423778D"/>
    <w:rsid w:val="24287569"/>
    <w:rsid w:val="24353996"/>
    <w:rsid w:val="244020ED"/>
    <w:rsid w:val="2444093D"/>
    <w:rsid w:val="2451590A"/>
    <w:rsid w:val="245A0813"/>
    <w:rsid w:val="246F4A48"/>
    <w:rsid w:val="24844F8B"/>
    <w:rsid w:val="248A0945"/>
    <w:rsid w:val="24B25A2B"/>
    <w:rsid w:val="24BC6FE8"/>
    <w:rsid w:val="24E964F0"/>
    <w:rsid w:val="24F73476"/>
    <w:rsid w:val="24F77CB3"/>
    <w:rsid w:val="250671CD"/>
    <w:rsid w:val="25096F21"/>
    <w:rsid w:val="25243F6D"/>
    <w:rsid w:val="25296238"/>
    <w:rsid w:val="253F4153"/>
    <w:rsid w:val="255D078D"/>
    <w:rsid w:val="25627DE5"/>
    <w:rsid w:val="257840E2"/>
    <w:rsid w:val="259230DD"/>
    <w:rsid w:val="25A4045A"/>
    <w:rsid w:val="25B5240A"/>
    <w:rsid w:val="25D63D85"/>
    <w:rsid w:val="25DA0320"/>
    <w:rsid w:val="25EE18CC"/>
    <w:rsid w:val="25F179E3"/>
    <w:rsid w:val="25FD1C98"/>
    <w:rsid w:val="25FE7651"/>
    <w:rsid w:val="25FF1B34"/>
    <w:rsid w:val="26163F60"/>
    <w:rsid w:val="2630408D"/>
    <w:rsid w:val="263C73D4"/>
    <w:rsid w:val="26490029"/>
    <w:rsid w:val="26855921"/>
    <w:rsid w:val="26D926BA"/>
    <w:rsid w:val="270C275B"/>
    <w:rsid w:val="27140417"/>
    <w:rsid w:val="27225102"/>
    <w:rsid w:val="273A1F8B"/>
    <w:rsid w:val="2749404C"/>
    <w:rsid w:val="27537521"/>
    <w:rsid w:val="27902E1F"/>
    <w:rsid w:val="27974EA1"/>
    <w:rsid w:val="27AC727E"/>
    <w:rsid w:val="27B27370"/>
    <w:rsid w:val="27CC5A46"/>
    <w:rsid w:val="27E3571D"/>
    <w:rsid w:val="280B656E"/>
    <w:rsid w:val="28110850"/>
    <w:rsid w:val="28304325"/>
    <w:rsid w:val="284474EF"/>
    <w:rsid w:val="28472C02"/>
    <w:rsid w:val="2850539E"/>
    <w:rsid w:val="285225D9"/>
    <w:rsid w:val="2858046A"/>
    <w:rsid w:val="286B6FA3"/>
    <w:rsid w:val="289F221E"/>
    <w:rsid w:val="28A3027D"/>
    <w:rsid w:val="28AC2F62"/>
    <w:rsid w:val="28AF339E"/>
    <w:rsid w:val="28BA7C3E"/>
    <w:rsid w:val="28E470C4"/>
    <w:rsid w:val="28E55011"/>
    <w:rsid w:val="28F434A6"/>
    <w:rsid w:val="29001E4B"/>
    <w:rsid w:val="29300E79"/>
    <w:rsid w:val="293E4722"/>
    <w:rsid w:val="294F157B"/>
    <w:rsid w:val="29665177"/>
    <w:rsid w:val="29697B94"/>
    <w:rsid w:val="29AD50FB"/>
    <w:rsid w:val="29D12762"/>
    <w:rsid w:val="29F27F03"/>
    <w:rsid w:val="2A236058"/>
    <w:rsid w:val="2A3B08E4"/>
    <w:rsid w:val="2A5F37EE"/>
    <w:rsid w:val="2A854186"/>
    <w:rsid w:val="2A8750DA"/>
    <w:rsid w:val="2AA84549"/>
    <w:rsid w:val="2AA9629E"/>
    <w:rsid w:val="2ABC5A2A"/>
    <w:rsid w:val="2AC05D42"/>
    <w:rsid w:val="2AC86999"/>
    <w:rsid w:val="2ADF3CE2"/>
    <w:rsid w:val="2AE15CAC"/>
    <w:rsid w:val="2B11154B"/>
    <w:rsid w:val="2B125E66"/>
    <w:rsid w:val="2B322CEF"/>
    <w:rsid w:val="2B3A2BD4"/>
    <w:rsid w:val="2B4729F3"/>
    <w:rsid w:val="2B4B4863"/>
    <w:rsid w:val="2B586FB0"/>
    <w:rsid w:val="2B5F2888"/>
    <w:rsid w:val="2B7B346E"/>
    <w:rsid w:val="2B866041"/>
    <w:rsid w:val="2B9635FC"/>
    <w:rsid w:val="2BAD08B5"/>
    <w:rsid w:val="2BEA6B08"/>
    <w:rsid w:val="2BF30E37"/>
    <w:rsid w:val="2C5129BE"/>
    <w:rsid w:val="2C632468"/>
    <w:rsid w:val="2C8E59C0"/>
    <w:rsid w:val="2CB26D8A"/>
    <w:rsid w:val="2CD93FC7"/>
    <w:rsid w:val="2CE02276"/>
    <w:rsid w:val="2CE079C2"/>
    <w:rsid w:val="2CEA4C8F"/>
    <w:rsid w:val="2D002FD3"/>
    <w:rsid w:val="2D0160B4"/>
    <w:rsid w:val="2D2E2061"/>
    <w:rsid w:val="2D367EB9"/>
    <w:rsid w:val="2D3A2395"/>
    <w:rsid w:val="2D6D0000"/>
    <w:rsid w:val="2D6E379E"/>
    <w:rsid w:val="2D7A507C"/>
    <w:rsid w:val="2D8172D3"/>
    <w:rsid w:val="2D88240F"/>
    <w:rsid w:val="2DAB385D"/>
    <w:rsid w:val="2DB45DDC"/>
    <w:rsid w:val="2DE54430"/>
    <w:rsid w:val="2E154087"/>
    <w:rsid w:val="2E16034F"/>
    <w:rsid w:val="2E1A575D"/>
    <w:rsid w:val="2E312074"/>
    <w:rsid w:val="2E507E11"/>
    <w:rsid w:val="2E5C5D76"/>
    <w:rsid w:val="2E635F6E"/>
    <w:rsid w:val="2EA0106F"/>
    <w:rsid w:val="2EB208EB"/>
    <w:rsid w:val="2EB21E3A"/>
    <w:rsid w:val="2EB77450"/>
    <w:rsid w:val="2EC977EC"/>
    <w:rsid w:val="2ECC00C0"/>
    <w:rsid w:val="2ECE02F6"/>
    <w:rsid w:val="2ED4560D"/>
    <w:rsid w:val="2F063F34"/>
    <w:rsid w:val="2F114EBB"/>
    <w:rsid w:val="2F13069B"/>
    <w:rsid w:val="2F1D35CF"/>
    <w:rsid w:val="2F2238CC"/>
    <w:rsid w:val="2F2D046C"/>
    <w:rsid w:val="2F4631B4"/>
    <w:rsid w:val="2F674DAF"/>
    <w:rsid w:val="2F6A001E"/>
    <w:rsid w:val="2F740E9D"/>
    <w:rsid w:val="2F9D4288"/>
    <w:rsid w:val="2FA07EE4"/>
    <w:rsid w:val="2FAD4018"/>
    <w:rsid w:val="2FB21DE3"/>
    <w:rsid w:val="2FBB2BF7"/>
    <w:rsid w:val="301878B5"/>
    <w:rsid w:val="30243D1D"/>
    <w:rsid w:val="30430B6C"/>
    <w:rsid w:val="304929A9"/>
    <w:rsid w:val="304F4E89"/>
    <w:rsid w:val="308E1033"/>
    <w:rsid w:val="30D81880"/>
    <w:rsid w:val="311E7D74"/>
    <w:rsid w:val="31576FD3"/>
    <w:rsid w:val="31673B62"/>
    <w:rsid w:val="31725F5A"/>
    <w:rsid w:val="31727FCA"/>
    <w:rsid w:val="317D3CBB"/>
    <w:rsid w:val="3180038B"/>
    <w:rsid w:val="319C1C6C"/>
    <w:rsid w:val="31C600A2"/>
    <w:rsid w:val="31E51A96"/>
    <w:rsid w:val="31E87920"/>
    <w:rsid w:val="31EE69F5"/>
    <w:rsid w:val="320C31F2"/>
    <w:rsid w:val="321D7CBE"/>
    <w:rsid w:val="32200700"/>
    <w:rsid w:val="3236068C"/>
    <w:rsid w:val="328303DD"/>
    <w:rsid w:val="328C6381"/>
    <w:rsid w:val="32B223D8"/>
    <w:rsid w:val="32BA0AAC"/>
    <w:rsid w:val="32D5478B"/>
    <w:rsid w:val="32E9613E"/>
    <w:rsid w:val="32EA4764"/>
    <w:rsid w:val="32EC6071"/>
    <w:rsid w:val="32FE389F"/>
    <w:rsid w:val="33077F0E"/>
    <w:rsid w:val="330B668B"/>
    <w:rsid w:val="33424491"/>
    <w:rsid w:val="335D7E9A"/>
    <w:rsid w:val="337B2F33"/>
    <w:rsid w:val="33A528EB"/>
    <w:rsid w:val="33B2468A"/>
    <w:rsid w:val="33B865A6"/>
    <w:rsid w:val="33D34215"/>
    <w:rsid w:val="33D90B2E"/>
    <w:rsid w:val="33E57E7F"/>
    <w:rsid w:val="33F0544D"/>
    <w:rsid w:val="33FB5112"/>
    <w:rsid w:val="33FB5613"/>
    <w:rsid w:val="34074CBF"/>
    <w:rsid w:val="34360C2E"/>
    <w:rsid w:val="34390907"/>
    <w:rsid w:val="344B53A4"/>
    <w:rsid w:val="34780B0C"/>
    <w:rsid w:val="348A1163"/>
    <w:rsid w:val="348C3B58"/>
    <w:rsid w:val="34AA01D1"/>
    <w:rsid w:val="34D50211"/>
    <w:rsid w:val="34DD7940"/>
    <w:rsid w:val="34E13E68"/>
    <w:rsid w:val="34E56399"/>
    <w:rsid w:val="34FF3B1B"/>
    <w:rsid w:val="351C000D"/>
    <w:rsid w:val="351C127F"/>
    <w:rsid w:val="35213875"/>
    <w:rsid w:val="35324954"/>
    <w:rsid w:val="353F2EFD"/>
    <w:rsid w:val="357669C6"/>
    <w:rsid w:val="359027A9"/>
    <w:rsid w:val="35DB0FCE"/>
    <w:rsid w:val="35DD08AF"/>
    <w:rsid w:val="35DE556E"/>
    <w:rsid w:val="35F20D6E"/>
    <w:rsid w:val="364A52D6"/>
    <w:rsid w:val="36603F29"/>
    <w:rsid w:val="36697842"/>
    <w:rsid w:val="368A2BF5"/>
    <w:rsid w:val="368A71F8"/>
    <w:rsid w:val="36A1525F"/>
    <w:rsid w:val="36B303DC"/>
    <w:rsid w:val="36B41568"/>
    <w:rsid w:val="36C33109"/>
    <w:rsid w:val="36DD1A1E"/>
    <w:rsid w:val="36E36F5C"/>
    <w:rsid w:val="36E6797E"/>
    <w:rsid w:val="36F01F01"/>
    <w:rsid w:val="37071D00"/>
    <w:rsid w:val="370C40B1"/>
    <w:rsid w:val="37184AB8"/>
    <w:rsid w:val="37492C0F"/>
    <w:rsid w:val="374940FF"/>
    <w:rsid w:val="37931B4D"/>
    <w:rsid w:val="37B25E95"/>
    <w:rsid w:val="37DC4BF7"/>
    <w:rsid w:val="37DD4C8C"/>
    <w:rsid w:val="37E84F8B"/>
    <w:rsid w:val="37EC66BC"/>
    <w:rsid w:val="37F32F48"/>
    <w:rsid w:val="380C3D81"/>
    <w:rsid w:val="38471BCC"/>
    <w:rsid w:val="384A4E91"/>
    <w:rsid w:val="387650AB"/>
    <w:rsid w:val="38957FB8"/>
    <w:rsid w:val="38AB05B1"/>
    <w:rsid w:val="38B61801"/>
    <w:rsid w:val="38D84EC6"/>
    <w:rsid w:val="38F26DC3"/>
    <w:rsid w:val="38FD1F03"/>
    <w:rsid w:val="390B32B2"/>
    <w:rsid w:val="390D6212"/>
    <w:rsid w:val="39317DFF"/>
    <w:rsid w:val="393D0552"/>
    <w:rsid w:val="394418E0"/>
    <w:rsid w:val="39455658"/>
    <w:rsid w:val="39540793"/>
    <w:rsid w:val="395704C2"/>
    <w:rsid w:val="39632A43"/>
    <w:rsid w:val="39805ED7"/>
    <w:rsid w:val="399F3068"/>
    <w:rsid w:val="39BC1DBE"/>
    <w:rsid w:val="39E16358"/>
    <w:rsid w:val="3A143A0A"/>
    <w:rsid w:val="3A331D1E"/>
    <w:rsid w:val="3A41595F"/>
    <w:rsid w:val="3A4346C8"/>
    <w:rsid w:val="3A8F2233"/>
    <w:rsid w:val="3AA079B4"/>
    <w:rsid w:val="3AEC01CF"/>
    <w:rsid w:val="3AEC222F"/>
    <w:rsid w:val="3B102E3D"/>
    <w:rsid w:val="3B44636A"/>
    <w:rsid w:val="3B5866D6"/>
    <w:rsid w:val="3B5A4FB9"/>
    <w:rsid w:val="3B712773"/>
    <w:rsid w:val="3B7E29C7"/>
    <w:rsid w:val="3B800BCA"/>
    <w:rsid w:val="3B804B22"/>
    <w:rsid w:val="3B8B7C9A"/>
    <w:rsid w:val="3B8C0E36"/>
    <w:rsid w:val="3B9F7DD6"/>
    <w:rsid w:val="3BA82817"/>
    <w:rsid w:val="3BAE123E"/>
    <w:rsid w:val="3BB855D4"/>
    <w:rsid w:val="3BD01B51"/>
    <w:rsid w:val="3BD12F41"/>
    <w:rsid w:val="3BDC5EEB"/>
    <w:rsid w:val="3BE33565"/>
    <w:rsid w:val="3C017F5D"/>
    <w:rsid w:val="3C095928"/>
    <w:rsid w:val="3C29710F"/>
    <w:rsid w:val="3C344D46"/>
    <w:rsid w:val="3C5676FF"/>
    <w:rsid w:val="3C5F280D"/>
    <w:rsid w:val="3C7A4FBF"/>
    <w:rsid w:val="3C8B3F6A"/>
    <w:rsid w:val="3CAF26BE"/>
    <w:rsid w:val="3CDF271C"/>
    <w:rsid w:val="3D0132EE"/>
    <w:rsid w:val="3D0A1093"/>
    <w:rsid w:val="3D0C6616"/>
    <w:rsid w:val="3D1A2F01"/>
    <w:rsid w:val="3D4E6C8F"/>
    <w:rsid w:val="3D4F0491"/>
    <w:rsid w:val="3D815D1E"/>
    <w:rsid w:val="3DB03731"/>
    <w:rsid w:val="3DC01751"/>
    <w:rsid w:val="3DC569F5"/>
    <w:rsid w:val="3DD65655"/>
    <w:rsid w:val="3DDE7E50"/>
    <w:rsid w:val="3DE6740A"/>
    <w:rsid w:val="3DE73182"/>
    <w:rsid w:val="3DEF68ED"/>
    <w:rsid w:val="3E0D04BC"/>
    <w:rsid w:val="3E0F7CA5"/>
    <w:rsid w:val="3E263CAA"/>
    <w:rsid w:val="3E4403FD"/>
    <w:rsid w:val="3E506E2D"/>
    <w:rsid w:val="3E543D1C"/>
    <w:rsid w:val="3E574FC9"/>
    <w:rsid w:val="3E946E66"/>
    <w:rsid w:val="3E9A1A09"/>
    <w:rsid w:val="3EB47508"/>
    <w:rsid w:val="3EB61481"/>
    <w:rsid w:val="3EED72E0"/>
    <w:rsid w:val="3F1E4982"/>
    <w:rsid w:val="3F7642FD"/>
    <w:rsid w:val="3F9F5C2F"/>
    <w:rsid w:val="3FC2510D"/>
    <w:rsid w:val="3FD2650C"/>
    <w:rsid w:val="3FEC3399"/>
    <w:rsid w:val="3FFC53B7"/>
    <w:rsid w:val="400C5E08"/>
    <w:rsid w:val="400F18DA"/>
    <w:rsid w:val="40174F61"/>
    <w:rsid w:val="402E7F08"/>
    <w:rsid w:val="403C77B5"/>
    <w:rsid w:val="40491565"/>
    <w:rsid w:val="404B3E24"/>
    <w:rsid w:val="407420D1"/>
    <w:rsid w:val="4074469D"/>
    <w:rsid w:val="4086576B"/>
    <w:rsid w:val="40AF2FF7"/>
    <w:rsid w:val="40B85971"/>
    <w:rsid w:val="40EA7211"/>
    <w:rsid w:val="40F279CF"/>
    <w:rsid w:val="40FC0CF2"/>
    <w:rsid w:val="411C3143"/>
    <w:rsid w:val="411E510D"/>
    <w:rsid w:val="413108F6"/>
    <w:rsid w:val="41756F7D"/>
    <w:rsid w:val="41777D75"/>
    <w:rsid w:val="417E32D7"/>
    <w:rsid w:val="41805853"/>
    <w:rsid w:val="41837FB7"/>
    <w:rsid w:val="41BB47E7"/>
    <w:rsid w:val="41E516B2"/>
    <w:rsid w:val="42097443"/>
    <w:rsid w:val="42163BC0"/>
    <w:rsid w:val="42245343"/>
    <w:rsid w:val="42497F67"/>
    <w:rsid w:val="424B795D"/>
    <w:rsid w:val="42B42802"/>
    <w:rsid w:val="42C2309C"/>
    <w:rsid w:val="42C8735F"/>
    <w:rsid w:val="42E136ED"/>
    <w:rsid w:val="42F24E00"/>
    <w:rsid w:val="42F8373B"/>
    <w:rsid w:val="43127182"/>
    <w:rsid w:val="4346186F"/>
    <w:rsid w:val="434A444E"/>
    <w:rsid w:val="4391606A"/>
    <w:rsid w:val="43C50819"/>
    <w:rsid w:val="43CA597D"/>
    <w:rsid w:val="43DF3DCC"/>
    <w:rsid w:val="43E02F96"/>
    <w:rsid w:val="43E376CE"/>
    <w:rsid w:val="43E566BC"/>
    <w:rsid w:val="43EF507C"/>
    <w:rsid w:val="44131FF3"/>
    <w:rsid w:val="445769EE"/>
    <w:rsid w:val="44650F5C"/>
    <w:rsid w:val="447B4E79"/>
    <w:rsid w:val="448434D9"/>
    <w:rsid w:val="44B06E0B"/>
    <w:rsid w:val="44B92700"/>
    <w:rsid w:val="44BB4A46"/>
    <w:rsid w:val="44BD4C3D"/>
    <w:rsid w:val="44DA1689"/>
    <w:rsid w:val="44DA2188"/>
    <w:rsid w:val="44E33FA5"/>
    <w:rsid w:val="450C41E0"/>
    <w:rsid w:val="451333CC"/>
    <w:rsid w:val="45380C3F"/>
    <w:rsid w:val="455D330B"/>
    <w:rsid w:val="455F4EA7"/>
    <w:rsid w:val="457F1FF6"/>
    <w:rsid w:val="4597548E"/>
    <w:rsid w:val="45C31E25"/>
    <w:rsid w:val="45DE519B"/>
    <w:rsid w:val="45ED3767"/>
    <w:rsid w:val="46014AC2"/>
    <w:rsid w:val="46753915"/>
    <w:rsid w:val="467F03FC"/>
    <w:rsid w:val="46917F69"/>
    <w:rsid w:val="46A46DA8"/>
    <w:rsid w:val="46AD7EEF"/>
    <w:rsid w:val="46C167DF"/>
    <w:rsid w:val="46C16C66"/>
    <w:rsid w:val="46C81DF0"/>
    <w:rsid w:val="46D92C4C"/>
    <w:rsid w:val="46E3235D"/>
    <w:rsid w:val="46F35345"/>
    <w:rsid w:val="46F87E54"/>
    <w:rsid w:val="47101645"/>
    <w:rsid w:val="471843AC"/>
    <w:rsid w:val="471A0124"/>
    <w:rsid w:val="47434B69"/>
    <w:rsid w:val="477E3616"/>
    <w:rsid w:val="47823B5B"/>
    <w:rsid w:val="47925F0D"/>
    <w:rsid w:val="47AA76FA"/>
    <w:rsid w:val="47B06E0E"/>
    <w:rsid w:val="47DF3EFC"/>
    <w:rsid w:val="47FB61A8"/>
    <w:rsid w:val="48016CF1"/>
    <w:rsid w:val="4808633E"/>
    <w:rsid w:val="48322B80"/>
    <w:rsid w:val="483750C4"/>
    <w:rsid w:val="485A52DD"/>
    <w:rsid w:val="485B6C46"/>
    <w:rsid w:val="48671120"/>
    <w:rsid w:val="486C7B0F"/>
    <w:rsid w:val="489313CA"/>
    <w:rsid w:val="48A24875"/>
    <w:rsid w:val="48A81520"/>
    <w:rsid w:val="48A8612B"/>
    <w:rsid w:val="48B604EB"/>
    <w:rsid w:val="48C0554A"/>
    <w:rsid w:val="48DB1EBA"/>
    <w:rsid w:val="48FD026F"/>
    <w:rsid w:val="490D3A8D"/>
    <w:rsid w:val="493D5857"/>
    <w:rsid w:val="49452871"/>
    <w:rsid w:val="494E2307"/>
    <w:rsid w:val="49932908"/>
    <w:rsid w:val="499C0921"/>
    <w:rsid w:val="49A92109"/>
    <w:rsid w:val="49B3517A"/>
    <w:rsid w:val="49BB216B"/>
    <w:rsid w:val="49C370BC"/>
    <w:rsid w:val="49D74CB1"/>
    <w:rsid w:val="4A557A5C"/>
    <w:rsid w:val="4A662E61"/>
    <w:rsid w:val="4A6A2E46"/>
    <w:rsid w:val="4A6A5097"/>
    <w:rsid w:val="4A846497"/>
    <w:rsid w:val="4A8F3511"/>
    <w:rsid w:val="4AC92063"/>
    <w:rsid w:val="4AD11033"/>
    <w:rsid w:val="4AE271AB"/>
    <w:rsid w:val="4AF84C20"/>
    <w:rsid w:val="4B04546B"/>
    <w:rsid w:val="4B08477A"/>
    <w:rsid w:val="4B5E473C"/>
    <w:rsid w:val="4B6541A5"/>
    <w:rsid w:val="4B6909DC"/>
    <w:rsid w:val="4B783AFA"/>
    <w:rsid w:val="4B7C58D7"/>
    <w:rsid w:val="4B835FC8"/>
    <w:rsid w:val="4B8E4B26"/>
    <w:rsid w:val="4BA44460"/>
    <w:rsid w:val="4BBC4823"/>
    <w:rsid w:val="4BBD5304"/>
    <w:rsid w:val="4BC400C1"/>
    <w:rsid w:val="4BC52D55"/>
    <w:rsid w:val="4BDD25BF"/>
    <w:rsid w:val="4BE33F9B"/>
    <w:rsid w:val="4BF03456"/>
    <w:rsid w:val="4C1B0E82"/>
    <w:rsid w:val="4C2345F9"/>
    <w:rsid w:val="4C324F11"/>
    <w:rsid w:val="4C54245E"/>
    <w:rsid w:val="4C7C4ED0"/>
    <w:rsid w:val="4C8A1873"/>
    <w:rsid w:val="4C9D7340"/>
    <w:rsid w:val="4C9E5AA1"/>
    <w:rsid w:val="4CB22FF4"/>
    <w:rsid w:val="4CC316DB"/>
    <w:rsid w:val="4CCF138B"/>
    <w:rsid w:val="4CE03555"/>
    <w:rsid w:val="4CF53AD9"/>
    <w:rsid w:val="4CFA3C14"/>
    <w:rsid w:val="4D063946"/>
    <w:rsid w:val="4D27563B"/>
    <w:rsid w:val="4D4877D8"/>
    <w:rsid w:val="4D6D36A4"/>
    <w:rsid w:val="4D6E0701"/>
    <w:rsid w:val="4D813B46"/>
    <w:rsid w:val="4D97299B"/>
    <w:rsid w:val="4DB82A7D"/>
    <w:rsid w:val="4DCA468F"/>
    <w:rsid w:val="4DD23507"/>
    <w:rsid w:val="4DDE1EAC"/>
    <w:rsid w:val="4E021703"/>
    <w:rsid w:val="4E04311F"/>
    <w:rsid w:val="4E04568A"/>
    <w:rsid w:val="4E2E53F7"/>
    <w:rsid w:val="4E404914"/>
    <w:rsid w:val="4E562355"/>
    <w:rsid w:val="4E6676BF"/>
    <w:rsid w:val="4E73202F"/>
    <w:rsid w:val="4E782BE1"/>
    <w:rsid w:val="4E8A2ADA"/>
    <w:rsid w:val="4E9E4389"/>
    <w:rsid w:val="4F161B19"/>
    <w:rsid w:val="4F290E6D"/>
    <w:rsid w:val="4F29184C"/>
    <w:rsid w:val="4F4A36BE"/>
    <w:rsid w:val="4F4E4E0F"/>
    <w:rsid w:val="4F4F2935"/>
    <w:rsid w:val="4F7924C0"/>
    <w:rsid w:val="4F7F56F1"/>
    <w:rsid w:val="4F9D7B44"/>
    <w:rsid w:val="4FCA6235"/>
    <w:rsid w:val="4FCF6F75"/>
    <w:rsid w:val="4FD80B7D"/>
    <w:rsid w:val="4FDA66A3"/>
    <w:rsid w:val="4FF022C1"/>
    <w:rsid w:val="50193712"/>
    <w:rsid w:val="503E3DCF"/>
    <w:rsid w:val="50524035"/>
    <w:rsid w:val="507E3121"/>
    <w:rsid w:val="508634F7"/>
    <w:rsid w:val="50A746EA"/>
    <w:rsid w:val="50C10F02"/>
    <w:rsid w:val="50FB0FC7"/>
    <w:rsid w:val="50FB2D75"/>
    <w:rsid w:val="511703CE"/>
    <w:rsid w:val="511E02A1"/>
    <w:rsid w:val="51223C4A"/>
    <w:rsid w:val="512C50D9"/>
    <w:rsid w:val="51340035"/>
    <w:rsid w:val="51365206"/>
    <w:rsid w:val="518E5F22"/>
    <w:rsid w:val="51D40BFC"/>
    <w:rsid w:val="51D7561A"/>
    <w:rsid w:val="51EB103B"/>
    <w:rsid w:val="521D4930"/>
    <w:rsid w:val="5226322B"/>
    <w:rsid w:val="52597570"/>
    <w:rsid w:val="525D015D"/>
    <w:rsid w:val="5297606A"/>
    <w:rsid w:val="52A01E26"/>
    <w:rsid w:val="52A35AC2"/>
    <w:rsid w:val="52A379C2"/>
    <w:rsid w:val="52BE51D3"/>
    <w:rsid w:val="52C5363A"/>
    <w:rsid w:val="52F67A7C"/>
    <w:rsid w:val="530E3233"/>
    <w:rsid w:val="531A21C9"/>
    <w:rsid w:val="5338205E"/>
    <w:rsid w:val="534976B3"/>
    <w:rsid w:val="5369498A"/>
    <w:rsid w:val="53871716"/>
    <w:rsid w:val="53AC7DF8"/>
    <w:rsid w:val="53C90F08"/>
    <w:rsid w:val="53F421C2"/>
    <w:rsid w:val="54633637"/>
    <w:rsid w:val="548656D1"/>
    <w:rsid w:val="54A7306B"/>
    <w:rsid w:val="54B971CF"/>
    <w:rsid w:val="54BA6AA3"/>
    <w:rsid w:val="54D97813"/>
    <w:rsid w:val="54F454A1"/>
    <w:rsid w:val="54FB4390"/>
    <w:rsid w:val="5511700B"/>
    <w:rsid w:val="55266AFD"/>
    <w:rsid w:val="554778FD"/>
    <w:rsid w:val="5549216B"/>
    <w:rsid w:val="554A7B55"/>
    <w:rsid w:val="555A1D3B"/>
    <w:rsid w:val="556A6AE2"/>
    <w:rsid w:val="55723314"/>
    <w:rsid w:val="55883C0E"/>
    <w:rsid w:val="55AD0216"/>
    <w:rsid w:val="55B50A80"/>
    <w:rsid w:val="55C73B6D"/>
    <w:rsid w:val="55CA2C51"/>
    <w:rsid w:val="55ED12E0"/>
    <w:rsid w:val="55FE29DA"/>
    <w:rsid w:val="55FE6A38"/>
    <w:rsid w:val="560A5808"/>
    <w:rsid w:val="560A70CA"/>
    <w:rsid w:val="560D3A1C"/>
    <w:rsid w:val="562A7D21"/>
    <w:rsid w:val="56353ACA"/>
    <w:rsid w:val="5636384A"/>
    <w:rsid w:val="563705F3"/>
    <w:rsid w:val="5637521F"/>
    <w:rsid w:val="56447A31"/>
    <w:rsid w:val="56540E4B"/>
    <w:rsid w:val="566C201F"/>
    <w:rsid w:val="567E1F8B"/>
    <w:rsid w:val="56985D4C"/>
    <w:rsid w:val="56A938FB"/>
    <w:rsid w:val="56CA7A14"/>
    <w:rsid w:val="56D40972"/>
    <w:rsid w:val="56E518E2"/>
    <w:rsid w:val="56FD0B83"/>
    <w:rsid w:val="572F3778"/>
    <w:rsid w:val="57380335"/>
    <w:rsid w:val="573F3255"/>
    <w:rsid w:val="573F6081"/>
    <w:rsid w:val="57516777"/>
    <w:rsid w:val="575B456D"/>
    <w:rsid w:val="575B5A3A"/>
    <w:rsid w:val="57644928"/>
    <w:rsid w:val="57CB5F6F"/>
    <w:rsid w:val="57E27D69"/>
    <w:rsid w:val="580742BC"/>
    <w:rsid w:val="58403763"/>
    <w:rsid w:val="584D4B8B"/>
    <w:rsid w:val="585D4315"/>
    <w:rsid w:val="585E76D0"/>
    <w:rsid w:val="58642EF1"/>
    <w:rsid w:val="586A12FE"/>
    <w:rsid w:val="586B07E0"/>
    <w:rsid w:val="586F6E0E"/>
    <w:rsid w:val="58867E42"/>
    <w:rsid w:val="589707EF"/>
    <w:rsid w:val="58A14202"/>
    <w:rsid w:val="58AE0FAD"/>
    <w:rsid w:val="58C95A4A"/>
    <w:rsid w:val="58D81FD1"/>
    <w:rsid w:val="58E04A8C"/>
    <w:rsid w:val="58F4181A"/>
    <w:rsid w:val="59131231"/>
    <w:rsid w:val="594E427C"/>
    <w:rsid w:val="59555FFB"/>
    <w:rsid w:val="595A27F8"/>
    <w:rsid w:val="59662975"/>
    <w:rsid w:val="596E0A3E"/>
    <w:rsid w:val="596E4051"/>
    <w:rsid w:val="59780E27"/>
    <w:rsid w:val="597F6AA1"/>
    <w:rsid w:val="598607A9"/>
    <w:rsid w:val="599252AD"/>
    <w:rsid w:val="59A365D6"/>
    <w:rsid w:val="59B769DB"/>
    <w:rsid w:val="59C91146"/>
    <w:rsid w:val="59D248F5"/>
    <w:rsid w:val="59D95EA1"/>
    <w:rsid w:val="59FF6703"/>
    <w:rsid w:val="5A160C1F"/>
    <w:rsid w:val="5A204434"/>
    <w:rsid w:val="5A250854"/>
    <w:rsid w:val="5A533C21"/>
    <w:rsid w:val="5A7E2DD6"/>
    <w:rsid w:val="5A964045"/>
    <w:rsid w:val="5A9C1B97"/>
    <w:rsid w:val="5AAE0E58"/>
    <w:rsid w:val="5AEA2E91"/>
    <w:rsid w:val="5B352B61"/>
    <w:rsid w:val="5B3C341D"/>
    <w:rsid w:val="5B435399"/>
    <w:rsid w:val="5B5E462C"/>
    <w:rsid w:val="5B7C71A8"/>
    <w:rsid w:val="5B9E711E"/>
    <w:rsid w:val="5BA745D3"/>
    <w:rsid w:val="5BE41A30"/>
    <w:rsid w:val="5C0230AB"/>
    <w:rsid w:val="5C100FBF"/>
    <w:rsid w:val="5C1B3907"/>
    <w:rsid w:val="5C207B33"/>
    <w:rsid w:val="5C24432B"/>
    <w:rsid w:val="5C386FF8"/>
    <w:rsid w:val="5C424B3A"/>
    <w:rsid w:val="5C521088"/>
    <w:rsid w:val="5C5F347C"/>
    <w:rsid w:val="5C653798"/>
    <w:rsid w:val="5CA803CC"/>
    <w:rsid w:val="5CAC604F"/>
    <w:rsid w:val="5CAD01CD"/>
    <w:rsid w:val="5CB26E94"/>
    <w:rsid w:val="5CB309A7"/>
    <w:rsid w:val="5CC63B98"/>
    <w:rsid w:val="5CD66444"/>
    <w:rsid w:val="5CDE267A"/>
    <w:rsid w:val="5CDF6C94"/>
    <w:rsid w:val="5CE46DB3"/>
    <w:rsid w:val="5CEE5E83"/>
    <w:rsid w:val="5CFA65D6"/>
    <w:rsid w:val="5CFC25AE"/>
    <w:rsid w:val="5D147820"/>
    <w:rsid w:val="5D310BBF"/>
    <w:rsid w:val="5D4E1358"/>
    <w:rsid w:val="5D5C6839"/>
    <w:rsid w:val="5D702069"/>
    <w:rsid w:val="5D8D7008"/>
    <w:rsid w:val="5D9702C9"/>
    <w:rsid w:val="5D9E399B"/>
    <w:rsid w:val="5DA03AAA"/>
    <w:rsid w:val="5DA777AE"/>
    <w:rsid w:val="5DAB1F5C"/>
    <w:rsid w:val="5DC31ED5"/>
    <w:rsid w:val="5DC3645E"/>
    <w:rsid w:val="5DED2098"/>
    <w:rsid w:val="5DF23B76"/>
    <w:rsid w:val="5E291642"/>
    <w:rsid w:val="5E2A215D"/>
    <w:rsid w:val="5E36363E"/>
    <w:rsid w:val="5E394EDC"/>
    <w:rsid w:val="5E4B0A25"/>
    <w:rsid w:val="5E7039B3"/>
    <w:rsid w:val="5E73000B"/>
    <w:rsid w:val="5E800D5D"/>
    <w:rsid w:val="5E8B1AA2"/>
    <w:rsid w:val="5E9B7945"/>
    <w:rsid w:val="5E9D7F10"/>
    <w:rsid w:val="5EBB7FE7"/>
    <w:rsid w:val="5ECB3938"/>
    <w:rsid w:val="5ED6009D"/>
    <w:rsid w:val="5EDA583B"/>
    <w:rsid w:val="5EEC5FAD"/>
    <w:rsid w:val="5EFD2A21"/>
    <w:rsid w:val="5EFE2A17"/>
    <w:rsid w:val="5F1A16EB"/>
    <w:rsid w:val="5F2C67EF"/>
    <w:rsid w:val="5F2E6A0B"/>
    <w:rsid w:val="5F3B30A1"/>
    <w:rsid w:val="5F453507"/>
    <w:rsid w:val="5F4E2C09"/>
    <w:rsid w:val="5F843223"/>
    <w:rsid w:val="5F9B5097"/>
    <w:rsid w:val="5FB41813"/>
    <w:rsid w:val="5FB80B34"/>
    <w:rsid w:val="5FB96B73"/>
    <w:rsid w:val="5FBD29D6"/>
    <w:rsid w:val="5FD4363B"/>
    <w:rsid w:val="5FF12442"/>
    <w:rsid w:val="600F4147"/>
    <w:rsid w:val="60134741"/>
    <w:rsid w:val="60164AB0"/>
    <w:rsid w:val="60282C15"/>
    <w:rsid w:val="60385065"/>
    <w:rsid w:val="6041607D"/>
    <w:rsid w:val="604702D5"/>
    <w:rsid w:val="605F7014"/>
    <w:rsid w:val="60637EFD"/>
    <w:rsid w:val="6082108D"/>
    <w:rsid w:val="608B350E"/>
    <w:rsid w:val="609D06CF"/>
    <w:rsid w:val="60A93258"/>
    <w:rsid w:val="60AB42A2"/>
    <w:rsid w:val="60BB2606"/>
    <w:rsid w:val="60CF606C"/>
    <w:rsid w:val="61180467"/>
    <w:rsid w:val="61186974"/>
    <w:rsid w:val="614239B0"/>
    <w:rsid w:val="614B5652"/>
    <w:rsid w:val="616F2EB4"/>
    <w:rsid w:val="6173696E"/>
    <w:rsid w:val="61745166"/>
    <w:rsid w:val="617F2279"/>
    <w:rsid w:val="6186668A"/>
    <w:rsid w:val="61866D35"/>
    <w:rsid w:val="61964AFB"/>
    <w:rsid w:val="61A1315F"/>
    <w:rsid w:val="61A45BAC"/>
    <w:rsid w:val="61B054B5"/>
    <w:rsid w:val="61F656FB"/>
    <w:rsid w:val="61FF01EB"/>
    <w:rsid w:val="62083626"/>
    <w:rsid w:val="620B4B8F"/>
    <w:rsid w:val="621521A4"/>
    <w:rsid w:val="623954AB"/>
    <w:rsid w:val="62420210"/>
    <w:rsid w:val="62481576"/>
    <w:rsid w:val="626E7864"/>
    <w:rsid w:val="62931AD8"/>
    <w:rsid w:val="62954A77"/>
    <w:rsid w:val="62AB052F"/>
    <w:rsid w:val="62BB360C"/>
    <w:rsid w:val="62BD322B"/>
    <w:rsid w:val="62C7300C"/>
    <w:rsid w:val="62CA25A7"/>
    <w:rsid w:val="62E819CA"/>
    <w:rsid w:val="62EC6150"/>
    <w:rsid w:val="62F10125"/>
    <w:rsid w:val="62F73308"/>
    <w:rsid w:val="63036705"/>
    <w:rsid w:val="632B7AA8"/>
    <w:rsid w:val="634A36E8"/>
    <w:rsid w:val="63676048"/>
    <w:rsid w:val="642C42BA"/>
    <w:rsid w:val="64303292"/>
    <w:rsid w:val="645C18B4"/>
    <w:rsid w:val="64C50C84"/>
    <w:rsid w:val="64F07E3F"/>
    <w:rsid w:val="6502427A"/>
    <w:rsid w:val="65046BCA"/>
    <w:rsid w:val="650D37ED"/>
    <w:rsid w:val="65336B29"/>
    <w:rsid w:val="65371BCF"/>
    <w:rsid w:val="653B778C"/>
    <w:rsid w:val="65491D12"/>
    <w:rsid w:val="656E232E"/>
    <w:rsid w:val="657F1D6E"/>
    <w:rsid w:val="659B455F"/>
    <w:rsid w:val="65CD5C29"/>
    <w:rsid w:val="65D200F0"/>
    <w:rsid w:val="65DB2C8C"/>
    <w:rsid w:val="65F53DDF"/>
    <w:rsid w:val="66187ACD"/>
    <w:rsid w:val="66304E17"/>
    <w:rsid w:val="664224EC"/>
    <w:rsid w:val="665F56FC"/>
    <w:rsid w:val="66631896"/>
    <w:rsid w:val="666704C6"/>
    <w:rsid w:val="66751149"/>
    <w:rsid w:val="669B4ECC"/>
    <w:rsid w:val="66AD3A1B"/>
    <w:rsid w:val="66CE4A3B"/>
    <w:rsid w:val="66E2400D"/>
    <w:rsid w:val="66FD5645"/>
    <w:rsid w:val="66FF0E9F"/>
    <w:rsid w:val="67056E4E"/>
    <w:rsid w:val="67292BF1"/>
    <w:rsid w:val="674F1D0C"/>
    <w:rsid w:val="67511FA6"/>
    <w:rsid w:val="67517B2B"/>
    <w:rsid w:val="679118E5"/>
    <w:rsid w:val="67A83CD8"/>
    <w:rsid w:val="67BF6452"/>
    <w:rsid w:val="67DD7177"/>
    <w:rsid w:val="67E265E5"/>
    <w:rsid w:val="67EB5992"/>
    <w:rsid w:val="67EB7F3F"/>
    <w:rsid w:val="67F72507"/>
    <w:rsid w:val="67F85E08"/>
    <w:rsid w:val="680711D9"/>
    <w:rsid w:val="68121B80"/>
    <w:rsid w:val="682B39B6"/>
    <w:rsid w:val="68394C10"/>
    <w:rsid w:val="683B64A9"/>
    <w:rsid w:val="684061E5"/>
    <w:rsid w:val="68716E58"/>
    <w:rsid w:val="68737A9A"/>
    <w:rsid w:val="68C1613C"/>
    <w:rsid w:val="68C343FE"/>
    <w:rsid w:val="68E5013A"/>
    <w:rsid w:val="68ED4916"/>
    <w:rsid w:val="691278D6"/>
    <w:rsid w:val="692D0CE8"/>
    <w:rsid w:val="696A4271"/>
    <w:rsid w:val="696C56EB"/>
    <w:rsid w:val="69772FE5"/>
    <w:rsid w:val="698B7AB7"/>
    <w:rsid w:val="698D3125"/>
    <w:rsid w:val="69AD1D66"/>
    <w:rsid w:val="69ED09B0"/>
    <w:rsid w:val="6A2460FF"/>
    <w:rsid w:val="6A3824EC"/>
    <w:rsid w:val="6A3B719D"/>
    <w:rsid w:val="6A637B72"/>
    <w:rsid w:val="6A6478B8"/>
    <w:rsid w:val="6A8D4C80"/>
    <w:rsid w:val="6A8E4DCE"/>
    <w:rsid w:val="6A9A0919"/>
    <w:rsid w:val="6AAD4C88"/>
    <w:rsid w:val="6AB346C9"/>
    <w:rsid w:val="6ABC7372"/>
    <w:rsid w:val="6AE05366"/>
    <w:rsid w:val="6AF14D73"/>
    <w:rsid w:val="6B1020D4"/>
    <w:rsid w:val="6B1A09C3"/>
    <w:rsid w:val="6B1A4CBA"/>
    <w:rsid w:val="6B2B3C1E"/>
    <w:rsid w:val="6B2F5EC4"/>
    <w:rsid w:val="6B370CF5"/>
    <w:rsid w:val="6B413A10"/>
    <w:rsid w:val="6B4F5D3F"/>
    <w:rsid w:val="6B7B035C"/>
    <w:rsid w:val="6B875E65"/>
    <w:rsid w:val="6B9419A4"/>
    <w:rsid w:val="6BB72874"/>
    <w:rsid w:val="6BB838E4"/>
    <w:rsid w:val="6C072D9E"/>
    <w:rsid w:val="6C0D37E1"/>
    <w:rsid w:val="6C255926"/>
    <w:rsid w:val="6C262F44"/>
    <w:rsid w:val="6C2D0522"/>
    <w:rsid w:val="6C483421"/>
    <w:rsid w:val="6C496EF2"/>
    <w:rsid w:val="6C5F1DA1"/>
    <w:rsid w:val="6C6770B8"/>
    <w:rsid w:val="6C9B2BD9"/>
    <w:rsid w:val="6C9C6692"/>
    <w:rsid w:val="6CB7789C"/>
    <w:rsid w:val="6CC60283"/>
    <w:rsid w:val="6CCE04F9"/>
    <w:rsid w:val="6CED1C4E"/>
    <w:rsid w:val="6CFB6218"/>
    <w:rsid w:val="6D117E63"/>
    <w:rsid w:val="6D3B47D0"/>
    <w:rsid w:val="6D400A2B"/>
    <w:rsid w:val="6D5238C5"/>
    <w:rsid w:val="6D6D6950"/>
    <w:rsid w:val="6D7D5A70"/>
    <w:rsid w:val="6D8D3B33"/>
    <w:rsid w:val="6D8E3DD4"/>
    <w:rsid w:val="6D902BB8"/>
    <w:rsid w:val="6D9711A5"/>
    <w:rsid w:val="6D9F608D"/>
    <w:rsid w:val="6DA700B4"/>
    <w:rsid w:val="6DB602F7"/>
    <w:rsid w:val="6DB86BAE"/>
    <w:rsid w:val="6DE9226B"/>
    <w:rsid w:val="6DEF3809"/>
    <w:rsid w:val="6E01708B"/>
    <w:rsid w:val="6E074A34"/>
    <w:rsid w:val="6E0B4071"/>
    <w:rsid w:val="6E0E58B5"/>
    <w:rsid w:val="6E185CFC"/>
    <w:rsid w:val="6E337B9A"/>
    <w:rsid w:val="6E392BCD"/>
    <w:rsid w:val="6E537A6C"/>
    <w:rsid w:val="6E6130DC"/>
    <w:rsid w:val="6E7A3452"/>
    <w:rsid w:val="6E9E7C3E"/>
    <w:rsid w:val="6ED134B3"/>
    <w:rsid w:val="6EE22B1E"/>
    <w:rsid w:val="6EE25C44"/>
    <w:rsid w:val="6EF2710D"/>
    <w:rsid w:val="6F092D81"/>
    <w:rsid w:val="6F0B1291"/>
    <w:rsid w:val="6F20157B"/>
    <w:rsid w:val="6F257B75"/>
    <w:rsid w:val="6F82445E"/>
    <w:rsid w:val="6F963B26"/>
    <w:rsid w:val="6FA32AFD"/>
    <w:rsid w:val="6FC61319"/>
    <w:rsid w:val="6FDB673F"/>
    <w:rsid w:val="6FFF4433"/>
    <w:rsid w:val="7014565A"/>
    <w:rsid w:val="707B3E81"/>
    <w:rsid w:val="708D02AF"/>
    <w:rsid w:val="708E25C1"/>
    <w:rsid w:val="70970D7B"/>
    <w:rsid w:val="709B04C9"/>
    <w:rsid w:val="709B246E"/>
    <w:rsid w:val="709E3353"/>
    <w:rsid w:val="70C244D0"/>
    <w:rsid w:val="70C57DC2"/>
    <w:rsid w:val="70D95DDC"/>
    <w:rsid w:val="70EF43E0"/>
    <w:rsid w:val="70F77556"/>
    <w:rsid w:val="70FC4596"/>
    <w:rsid w:val="71094CDA"/>
    <w:rsid w:val="71352476"/>
    <w:rsid w:val="71455792"/>
    <w:rsid w:val="715011C2"/>
    <w:rsid w:val="718F53DB"/>
    <w:rsid w:val="71B57042"/>
    <w:rsid w:val="71CC633B"/>
    <w:rsid w:val="71E12FF6"/>
    <w:rsid w:val="71E70040"/>
    <w:rsid w:val="71F96A05"/>
    <w:rsid w:val="71FE111C"/>
    <w:rsid w:val="72381810"/>
    <w:rsid w:val="7265421E"/>
    <w:rsid w:val="729660ED"/>
    <w:rsid w:val="72993886"/>
    <w:rsid w:val="729C3483"/>
    <w:rsid w:val="72A746B3"/>
    <w:rsid w:val="72B610DF"/>
    <w:rsid w:val="72EB4226"/>
    <w:rsid w:val="73246494"/>
    <w:rsid w:val="732F65E7"/>
    <w:rsid w:val="73426189"/>
    <w:rsid w:val="73497518"/>
    <w:rsid w:val="735A1725"/>
    <w:rsid w:val="735C4093"/>
    <w:rsid w:val="735E1215"/>
    <w:rsid w:val="736A0031"/>
    <w:rsid w:val="73713692"/>
    <w:rsid w:val="738220A4"/>
    <w:rsid w:val="738430F5"/>
    <w:rsid w:val="738642C8"/>
    <w:rsid w:val="73A26BD7"/>
    <w:rsid w:val="73AD16F0"/>
    <w:rsid w:val="73C4175E"/>
    <w:rsid w:val="742634AD"/>
    <w:rsid w:val="742E508B"/>
    <w:rsid w:val="744116B5"/>
    <w:rsid w:val="745C27E1"/>
    <w:rsid w:val="74932A0C"/>
    <w:rsid w:val="74E125D6"/>
    <w:rsid w:val="74E261CF"/>
    <w:rsid w:val="74F31E31"/>
    <w:rsid w:val="74F905C1"/>
    <w:rsid w:val="750D5843"/>
    <w:rsid w:val="751354AF"/>
    <w:rsid w:val="752E2E69"/>
    <w:rsid w:val="753C16ED"/>
    <w:rsid w:val="75626A3B"/>
    <w:rsid w:val="757E794D"/>
    <w:rsid w:val="75D94C4A"/>
    <w:rsid w:val="75E17CB2"/>
    <w:rsid w:val="75FB7ECD"/>
    <w:rsid w:val="7606621A"/>
    <w:rsid w:val="761958C7"/>
    <w:rsid w:val="763D7808"/>
    <w:rsid w:val="76642C90"/>
    <w:rsid w:val="767B40E8"/>
    <w:rsid w:val="7683109C"/>
    <w:rsid w:val="768C42EB"/>
    <w:rsid w:val="76AA16E8"/>
    <w:rsid w:val="76D10B32"/>
    <w:rsid w:val="76D92566"/>
    <w:rsid w:val="76E71522"/>
    <w:rsid w:val="770B7A5B"/>
    <w:rsid w:val="772B5411"/>
    <w:rsid w:val="7739045C"/>
    <w:rsid w:val="773C321B"/>
    <w:rsid w:val="773E2F40"/>
    <w:rsid w:val="77440EA5"/>
    <w:rsid w:val="7746292F"/>
    <w:rsid w:val="774E15A1"/>
    <w:rsid w:val="775C0B8E"/>
    <w:rsid w:val="777B1796"/>
    <w:rsid w:val="779021F5"/>
    <w:rsid w:val="77AF3277"/>
    <w:rsid w:val="77D07436"/>
    <w:rsid w:val="77DA0462"/>
    <w:rsid w:val="77E91E41"/>
    <w:rsid w:val="77F967D4"/>
    <w:rsid w:val="78362761"/>
    <w:rsid w:val="784127E4"/>
    <w:rsid w:val="78425A99"/>
    <w:rsid w:val="78727DA7"/>
    <w:rsid w:val="78793B7A"/>
    <w:rsid w:val="78C63702"/>
    <w:rsid w:val="78DC3F71"/>
    <w:rsid w:val="78E929DA"/>
    <w:rsid w:val="79120FCB"/>
    <w:rsid w:val="7917715F"/>
    <w:rsid w:val="793E2361"/>
    <w:rsid w:val="79796469"/>
    <w:rsid w:val="797A7CC8"/>
    <w:rsid w:val="79880E60"/>
    <w:rsid w:val="79986B03"/>
    <w:rsid w:val="79B920F2"/>
    <w:rsid w:val="79BF6BE2"/>
    <w:rsid w:val="79D73ACF"/>
    <w:rsid w:val="79E22DE2"/>
    <w:rsid w:val="7A1C6C08"/>
    <w:rsid w:val="7A335A72"/>
    <w:rsid w:val="7A4A3840"/>
    <w:rsid w:val="7A9419C0"/>
    <w:rsid w:val="7A95520D"/>
    <w:rsid w:val="7A985686"/>
    <w:rsid w:val="7AAC0AB8"/>
    <w:rsid w:val="7ACF47A6"/>
    <w:rsid w:val="7AFD7566"/>
    <w:rsid w:val="7B2A3384"/>
    <w:rsid w:val="7B411377"/>
    <w:rsid w:val="7B443090"/>
    <w:rsid w:val="7B486856"/>
    <w:rsid w:val="7B5573A2"/>
    <w:rsid w:val="7B895F1D"/>
    <w:rsid w:val="7B99626E"/>
    <w:rsid w:val="7B9A5581"/>
    <w:rsid w:val="7B9F23CB"/>
    <w:rsid w:val="7BFB521F"/>
    <w:rsid w:val="7C0652BA"/>
    <w:rsid w:val="7C1A7FE6"/>
    <w:rsid w:val="7C2C5FE1"/>
    <w:rsid w:val="7C547101"/>
    <w:rsid w:val="7C6B04FF"/>
    <w:rsid w:val="7C845D6E"/>
    <w:rsid w:val="7C934610"/>
    <w:rsid w:val="7CD60FDF"/>
    <w:rsid w:val="7D020E63"/>
    <w:rsid w:val="7D152311"/>
    <w:rsid w:val="7D407BDD"/>
    <w:rsid w:val="7DCC76C3"/>
    <w:rsid w:val="7DD3298A"/>
    <w:rsid w:val="7DDC7906"/>
    <w:rsid w:val="7E0F32EA"/>
    <w:rsid w:val="7E244E09"/>
    <w:rsid w:val="7E3A287F"/>
    <w:rsid w:val="7E443AE7"/>
    <w:rsid w:val="7E486D4A"/>
    <w:rsid w:val="7E775881"/>
    <w:rsid w:val="7E7D77CF"/>
    <w:rsid w:val="7E7E3560"/>
    <w:rsid w:val="7E7E412D"/>
    <w:rsid w:val="7E885398"/>
    <w:rsid w:val="7EC64112"/>
    <w:rsid w:val="7EDD653E"/>
    <w:rsid w:val="7F0C3BB4"/>
    <w:rsid w:val="7F3C52C5"/>
    <w:rsid w:val="7F3E639F"/>
    <w:rsid w:val="7F475253"/>
    <w:rsid w:val="7F4A4D43"/>
    <w:rsid w:val="7F8042C1"/>
    <w:rsid w:val="7F83462F"/>
    <w:rsid w:val="7F982A64"/>
    <w:rsid w:val="7FA6694C"/>
    <w:rsid w:val="7FBD4DED"/>
    <w:rsid w:val="7FC44AF6"/>
    <w:rsid w:val="7FC65A38"/>
    <w:rsid w:val="7FD80FC2"/>
    <w:rsid w:val="7FFF71A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qFormat="1" w:uiPriority="99"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60" w:lineRule="exact"/>
      <w:ind w:firstLine="640" w:firstLineChars="200"/>
      <w:jc w:val="both"/>
    </w:pPr>
    <w:rPr>
      <w:rFonts w:ascii="Times New Roman" w:hAnsi="Times New Roman" w:eastAsia="仿宋_GB2312" w:cstheme="minorBidi"/>
      <w:kern w:val="2"/>
      <w:sz w:val="32"/>
      <w:szCs w:val="24"/>
      <w:lang w:val="en-US" w:eastAsia="zh-CN" w:bidi="ar-SA"/>
    </w:rPr>
  </w:style>
  <w:style w:type="paragraph" w:styleId="2">
    <w:name w:val="heading 1"/>
    <w:basedOn w:val="1"/>
    <w:next w:val="1"/>
    <w:link w:val="29"/>
    <w:qFormat/>
    <w:uiPriority w:val="0"/>
    <w:pPr>
      <w:spacing w:before="50" w:beforeLines="50" w:after="50" w:afterLines="50"/>
      <w:ind w:firstLine="0" w:firstLineChars="0"/>
      <w:jc w:val="center"/>
      <w:outlineLvl w:val="0"/>
    </w:pPr>
    <w:rPr>
      <w:rFonts w:ascii="Good Times" w:hAnsi="Good Times" w:eastAsia="方正小标宋简体"/>
      <w:kern w:val="44"/>
      <w:sz w:val="44"/>
      <w:szCs w:val="40"/>
      <w:lang w:bidi="bo-CN"/>
    </w:rPr>
  </w:style>
  <w:style w:type="paragraph" w:styleId="3">
    <w:name w:val="heading 2"/>
    <w:basedOn w:val="1"/>
    <w:next w:val="1"/>
    <w:link w:val="26"/>
    <w:unhideWhenUsed/>
    <w:qFormat/>
    <w:uiPriority w:val="0"/>
    <w:pPr>
      <w:spacing w:before="50" w:beforeLines="50" w:after="50" w:afterLines="50"/>
      <w:ind w:firstLine="0" w:firstLineChars="0"/>
      <w:jc w:val="center"/>
      <w:outlineLvl w:val="1"/>
    </w:pPr>
    <w:rPr>
      <w:rFonts w:ascii="Arial" w:hAnsi="Arial" w:eastAsia="黑体"/>
      <w:szCs w:val="40"/>
      <w:lang w:bidi="bo-CN"/>
    </w:rPr>
  </w:style>
  <w:style w:type="paragraph" w:styleId="4">
    <w:name w:val="heading 3"/>
    <w:basedOn w:val="1"/>
    <w:next w:val="1"/>
    <w:link w:val="28"/>
    <w:qFormat/>
    <w:uiPriority w:val="0"/>
    <w:pPr>
      <w:keepNext/>
      <w:keepLines/>
      <w:ind w:firstLine="420"/>
      <w:jc w:val="left"/>
      <w:outlineLvl w:val="2"/>
    </w:pPr>
    <w:rPr>
      <w:rFonts w:eastAsia="方正楷体_GBK" w:cs="Times New Roman"/>
    </w:rPr>
  </w:style>
  <w:style w:type="character" w:default="1" w:styleId="21">
    <w:name w:val="Default Paragraph Font"/>
    <w:semiHidden/>
    <w:unhideWhenUsed/>
    <w:qFormat/>
    <w:uiPriority w:val="1"/>
  </w:style>
  <w:style w:type="table" w:default="1" w:styleId="19">
    <w:name w:val="Normal Table"/>
    <w:semiHidden/>
    <w:unhideWhenUsed/>
    <w:qFormat/>
    <w:uiPriority w:val="99"/>
    <w:tblPr>
      <w:tblCellMar>
        <w:top w:w="0" w:type="dxa"/>
        <w:left w:w="108" w:type="dxa"/>
        <w:bottom w:w="0" w:type="dxa"/>
        <w:right w:w="108" w:type="dxa"/>
      </w:tblCellMar>
    </w:tblPr>
  </w:style>
  <w:style w:type="paragraph" w:styleId="5">
    <w:name w:val="Normal Indent"/>
    <w:basedOn w:val="1"/>
    <w:next w:val="1"/>
    <w:unhideWhenUsed/>
    <w:qFormat/>
    <w:uiPriority w:val="99"/>
    <w:pPr>
      <w:ind w:firstLine="420"/>
    </w:pPr>
    <w:rPr>
      <w:rFonts w:ascii="Calibri" w:hAnsi="Calibri" w:eastAsia="宋体" w:cs="Times New Roman"/>
    </w:rPr>
  </w:style>
  <w:style w:type="paragraph" w:styleId="6">
    <w:name w:val="annotation text"/>
    <w:basedOn w:val="1"/>
    <w:qFormat/>
    <w:uiPriority w:val="0"/>
    <w:pPr>
      <w:jc w:val="left"/>
    </w:pPr>
  </w:style>
  <w:style w:type="paragraph" w:styleId="7">
    <w:name w:val="Body Text"/>
    <w:basedOn w:val="1"/>
    <w:semiHidden/>
    <w:qFormat/>
    <w:uiPriority w:val="0"/>
    <w:rPr>
      <w:rFonts w:ascii="仿宋_GB2312" w:hAnsi="仿宋_GB2312" w:cs="仿宋_GB2312"/>
      <w:sz w:val="31"/>
      <w:szCs w:val="31"/>
      <w:lang w:eastAsia="en-US"/>
    </w:rPr>
  </w:style>
  <w:style w:type="paragraph" w:styleId="8">
    <w:name w:val="Body Text Indent"/>
    <w:basedOn w:val="1"/>
    <w:qFormat/>
    <w:uiPriority w:val="0"/>
    <w:pPr>
      <w:spacing w:after="120"/>
      <w:ind w:left="420" w:leftChars="200"/>
    </w:pPr>
    <w:rPr>
      <w:rFonts w:ascii="Calibri" w:hAnsi="Calibri" w:eastAsia="宋体" w:cs="Times New Roman"/>
      <w:sz w:val="21"/>
    </w:rPr>
  </w:style>
  <w:style w:type="paragraph" w:styleId="9">
    <w:name w:val="footer"/>
    <w:basedOn w:val="1"/>
    <w:qFormat/>
    <w:uiPriority w:val="0"/>
    <w:pPr>
      <w:tabs>
        <w:tab w:val="center" w:pos="4153"/>
        <w:tab w:val="right" w:pos="8306"/>
      </w:tabs>
      <w:snapToGrid w:val="0"/>
      <w:jc w:val="left"/>
    </w:pPr>
    <w:rPr>
      <w:sz w:val="18"/>
    </w:rPr>
  </w:style>
  <w:style w:type="paragraph" w:styleId="10">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pPr>
    <w:rPr>
      <w:sz w:val="18"/>
    </w:rPr>
  </w:style>
  <w:style w:type="paragraph" w:styleId="11">
    <w:name w:val="toc 1"/>
    <w:basedOn w:val="1"/>
    <w:next w:val="1"/>
    <w:qFormat/>
    <w:uiPriority w:val="39"/>
    <w:pPr>
      <w:spacing w:line="240" w:lineRule="auto"/>
      <w:ind w:firstLine="0" w:firstLineChars="0"/>
    </w:pPr>
    <w:rPr>
      <w:rFonts w:eastAsia="方正黑体_GBK"/>
      <w:sz w:val="30"/>
    </w:rPr>
  </w:style>
  <w:style w:type="paragraph" w:styleId="12">
    <w:name w:val="footnote text"/>
    <w:basedOn w:val="1"/>
    <w:qFormat/>
    <w:uiPriority w:val="0"/>
    <w:pPr>
      <w:snapToGrid w:val="0"/>
      <w:jc w:val="left"/>
    </w:pPr>
    <w:rPr>
      <w:sz w:val="18"/>
    </w:rPr>
  </w:style>
  <w:style w:type="paragraph" w:styleId="13">
    <w:name w:val="table of figures"/>
    <w:basedOn w:val="1"/>
    <w:next w:val="1"/>
    <w:unhideWhenUsed/>
    <w:qFormat/>
    <w:uiPriority w:val="99"/>
    <w:pPr>
      <w:ind w:left="200" w:leftChars="200" w:hanging="200" w:hangingChars="200"/>
    </w:pPr>
    <w:rPr>
      <w:rFonts w:eastAsia="宋体" w:cs="Times New Roman"/>
      <w:sz w:val="21"/>
    </w:rPr>
  </w:style>
  <w:style w:type="paragraph" w:styleId="14">
    <w:name w:val="toc 2"/>
    <w:basedOn w:val="1"/>
    <w:next w:val="1"/>
    <w:qFormat/>
    <w:uiPriority w:val="39"/>
    <w:pPr>
      <w:spacing w:line="240" w:lineRule="auto"/>
      <w:ind w:firstLine="200"/>
    </w:pPr>
    <w:rPr>
      <w:rFonts w:eastAsia="方正楷体_GBK"/>
    </w:rPr>
  </w:style>
  <w:style w:type="paragraph" w:styleId="15">
    <w:name w:val="Normal (Web)"/>
    <w:basedOn w:val="1"/>
    <w:qFormat/>
    <w:uiPriority w:val="0"/>
    <w:pPr>
      <w:spacing w:beforeAutospacing="1" w:afterAutospacing="1"/>
      <w:jc w:val="left"/>
    </w:pPr>
    <w:rPr>
      <w:rFonts w:cs="Times New Roman"/>
      <w:kern w:val="0"/>
      <w:sz w:val="24"/>
    </w:rPr>
  </w:style>
  <w:style w:type="paragraph" w:styleId="16">
    <w:name w:val="Title"/>
    <w:basedOn w:val="1"/>
    <w:next w:val="1"/>
    <w:qFormat/>
    <w:uiPriority w:val="10"/>
    <w:pPr>
      <w:ind w:left="640" w:leftChars="200"/>
      <w:outlineLvl w:val="0"/>
    </w:pPr>
    <w:rPr>
      <w:rFonts w:ascii="Cambria" w:hAnsi="Cambria" w:eastAsia="黑体"/>
      <w:b/>
      <w:bCs/>
      <w:kern w:val="0"/>
      <w:szCs w:val="32"/>
    </w:rPr>
  </w:style>
  <w:style w:type="paragraph" w:styleId="17">
    <w:name w:val="Body Text First Indent"/>
    <w:basedOn w:val="7"/>
    <w:qFormat/>
    <w:uiPriority w:val="99"/>
    <w:pPr>
      <w:ind w:firstLine="880"/>
    </w:pPr>
    <w:rPr>
      <w:szCs w:val="24"/>
    </w:rPr>
  </w:style>
  <w:style w:type="paragraph" w:styleId="18">
    <w:name w:val="Body Text First Indent 2"/>
    <w:basedOn w:val="8"/>
    <w:next w:val="17"/>
    <w:qFormat/>
    <w:uiPriority w:val="0"/>
    <w:pPr>
      <w:ind w:firstLine="420"/>
    </w:pPr>
  </w:style>
  <w:style w:type="table" w:styleId="20">
    <w:name w:val="Table Grid"/>
    <w:basedOn w:val="1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2">
    <w:name w:val="Strong"/>
    <w:basedOn w:val="21"/>
    <w:qFormat/>
    <w:uiPriority w:val="0"/>
    <w:rPr>
      <w:b/>
    </w:rPr>
  </w:style>
  <w:style w:type="character" w:styleId="23">
    <w:name w:val="Emphasis"/>
    <w:basedOn w:val="21"/>
    <w:qFormat/>
    <w:uiPriority w:val="0"/>
    <w:rPr>
      <w:i/>
    </w:rPr>
  </w:style>
  <w:style w:type="character" w:styleId="24">
    <w:name w:val="Hyperlink"/>
    <w:basedOn w:val="21"/>
    <w:unhideWhenUsed/>
    <w:qFormat/>
    <w:uiPriority w:val="99"/>
    <w:rPr>
      <w:color w:val="0026E5" w:themeColor="hyperlink"/>
      <w:u w:val="single"/>
      <w14:textFill>
        <w14:solidFill>
          <w14:schemeClr w14:val="hlink"/>
        </w14:solidFill>
      </w14:textFill>
    </w:rPr>
  </w:style>
  <w:style w:type="character" w:styleId="25">
    <w:name w:val="footnote reference"/>
    <w:basedOn w:val="21"/>
    <w:qFormat/>
    <w:uiPriority w:val="0"/>
    <w:rPr>
      <w:vertAlign w:val="superscript"/>
    </w:rPr>
  </w:style>
  <w:style w:type="character" w:customStyle="1" w:styleId="26">
    <w:name w:val="标题 2 字符"/>
    <w:link w:val="3"/>
    <w:qFormat/>
    <w:uiPriority w:val="0"/>
    <w:rPr>
      <w:rFonts w:ascii="Arial" w:hAnsi="Arial" w:eastAsia="黑体" w:cstheme="minorBidi"/>
      <w:kern w:val="2"/>
      <w:sz w:val="32"/>
      <w:szCs w:val="40"/>
      <w:lang w:bidi="bo-CN"/>
    </w:rPr>
  </w:style>
  <w:style w:type="character" w:customStyle="1" w:styleId="27">
    <w:name w:val="标题 3 字符"/>
    <w:qFormat/>
    <w:uiPriority w:val="0"/>
    <w:rPr>
      <w:rFonts w:ascii="Times New Roman" w:hAnsi="Times New Roman" w:eastAsia="方正楷体_GBK" w:cs="Times New Roman"/>
    </w:rPr>
  </w:style>
  <w:style w:type="character" w:customStyle="1" w:styleId="28">
    <w:name w:val="标题 3 字符1"/>
    <w:link w:val="4"/>
    <w:qFormat/>
    <w:uiPriority w:val="0"/>
    <w:rPr>
      <w:rFonts w:ascii="Times New Roman" w:hAnsi="Times New Roman" w:eastAsia="方正楷体_GBK" w:cs="Times New Roman"/>
    </w:rPr>
  </w:style>
  <w:style w:type="character" w:customStyle="1" w:styleId="29">
    <w:name w:val="标题 1 字符"/>
    <w:link w:val="2"/>
    <w:qFormat/>
    <w:uiPriority w:val="0"/>
    <w:rPr>
      <w:rFonts w:ascii="Good Times" w:hAnsi="Good Times" w:eastAsia="方正小标宋简体"/>
      <w:kern w:val="44"/>
      <w:sz w:val="44"/>
      <w:szCs w:val="40"/>
      <w:lang w:bidi="bo-CN"/>
    </w:rPr>
  </w:style>
  <w:style w:type="paragraph" w:styleId="30">
    <w:name w:val="List Paragraph"/>
    <w:basedOn w:val="1"/>
    <w:qFormat/>
    <w:uiPriority w:val="34"/>
    <w:pPr>
      <w:ind w:firstLine="420"/>
    </w:pPr>
  </w:style>
  <w:style w:type="paragraph" w:customStyle="1" w:styleId="31">
    <w:name w:val="样式1页码格式"/>
    <w:qFormat/>
    <w:uiPriority w:val="0"/>
    <w:pPr>
      <w:tabs>
        <w:tab w:val="center" w:pos="4153"/>
        <w:tab w:val="right" w:pos="8306"/>
      </w:tabs>
      <w:jc w:val="center"/>
    </w:pPr>
    <w:rPr>
      <w:rFonts w:ascii="宋体" w:hAnsi="宋体" w:eastAsia="宋体" w:cs="宋体"/>
      <w:sz w:val="28"/>
      <w:szCs w:val="52"/>
      <w:lang w:val="en-US" w:eastAsia="zh-CN" w:bidi="ar-SA"/>
    </w:rPr>
  </w:style>
  <w:style w:type="paragraph" w:customStyle="1" w:styleId="32">
    <w:name w:val="方正小标宋二号"/>
    <w:basedOn w:val="1"/>
    <w:qFormat/>
    <w:uiPriority w:val="0"/>
    <w:pPr>
      <w:spacing w:line="640" w:lineRule="exact"/>
      <w:jc w:val="center"/>
    </w:pPr>
    <w:rPr>
      <w:rFonts w:eastAsia="方正小标宋_GBK"/>
      <w:sz w:val="44"/>
      <w:szCs w:val="32"/>
    </w:rPr>
  </w:style>
  <w:style w:type="paragraph" w:customStyle="1" w:styleId="33">
    <w:name w:val="Table Text"/>
    <w:basedOn w:val="1"/>
    <w:semiHidden/>
    <w:qFormat/>
    <w:uiPriority w:val="0"/>
    <w:rPr>
      <w:rFonts w:ascii="方正仿宋_GBK" w:hAnsi="方正仿宋_GBK" w:eastAsia="方正仿宋_GBK" w:cs="方正仿宋_GBK"/>
      <w:sz w:val="24"/>
      <w:lang w:eastAsia="en-US"/>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customXml" Target="../customXml/item3.xml"/><Relationship Id="rId18" Type="http://schemas.openxmlformats.org/officeDocument/2006/relationships/customXml" Target="../customXml/item2.xml"/><Relationship Id="rId17" Type="http://schemas.openxmlformats.org/officeDocument/2006/relationships/numbering" Target="numbering.xml"/><Relationship Id="rId16" Type="http://schemas.openxmlformats.org/officeDocument/2006/relationships/customXml" Target="../customXml/item1.xml"/><Relationship Id="rId15" Type="http://schemas.openxmlformats.org/officeDocument/2006/relationships/image" Target="media/image1.png"/><Relationship Id="rId14" Type="http://schemas.openxmlformats.org/officeDocument/2006/relationships/theme" Target="theme/theme1.xml"/><Relationship Id="rId13" Type="http://schemas.openxmlformats.org/officeDocument/2006/relationships/footer" Target="footer6.xml"/><Relationship Id="rId12" Type="http://schemas.openxmlformats.org/officeDocument/2006/relationships/footer" Target="footer5.xml"/><Relationship Id="rId11" Type="http://schemas.openxmlformats.org/officeDocument/2006/relationships/footer" Target="footer4.xml"/><Relationship Id="rId10" Type="http://schemas.openxmlformats.org/officeDocument/2006/relationships/footer" Target="footer3.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contractReview xmlns="http://schemas.wps.cn/vas-ai-hub/contract-review">
  <reviewItems>
    <reviewItem>
      <errorID>05be8308-5236-4b5f-9270-6cb9058e5830</errorID>
      <errorWord>五年</errorWord>
      <group>L1_Word</group>
      <groupName>字词问题</groupName>
      <ability>L2_Typo</ability>
      <abilityName>字词错误</abilityName>
      <candidateList>
        <item>去年</item>
      </candidateList>
      <explain/>
      <paraID>4DF801F4</paraID>
      <start>245</start>
      <end>247</end>
      <status>ignored</status>
      <modifiedWord/>
      <trackRevisions>false</trackRevisions>
    </reviewItem>
    <reviewItem>
      <errorID>71634b7c-71e6-414e-89cf-dc455037cb83</errorID>
      <errorWord>个</errorWord>
      <group>L1_Word</group>
      <groupName>字词问题</groupName>
      <ability>L2_Typo</ability>
      <abilityName>字词错误</abilityName>
      <candidateList>
        <item>家</item>
      </candidateList>
      <explain/>
      <paraID>54AD7F79</paraID>
      <start>223</start>
      <end>224</end>
      <status>ignored</status>
      <modifiedWord/>
      <trackRevisions>false</trackRevisions>
    </reviewItem>
    <reviewItem>
      <errorID>754d3523-18fb-4f76-9be2-03877c133ade</errorID>
      <errorWord>2022-2023</errorWord>
      <group>L1_Punc</group>
      <groupName>标点问题</groupName>
      <ability>L2_Punc</ability>
      <abilityName>标点符号检查</abilityName>
      <candidateList>
        <item>2022—2023</item>
      </candidateList>
      <explain/>
      <paraID>2EB48F2E</paraID>
      <start>0</start>
      <end>9</end>
      <status>ignored</status>
      <modifiedWord/>
      <trackRevisions>false</trackRevisions>
    </reviewItem>
    <reviewItem>
      <errorID>262e16a0-1f10-4bc5-857d-6c5b1d45542d</errorID>
      <errorWord>点赞</errorWord>
      <group>L1_Official</group>
      <groupName>公文问题</groupName>
      <ability>L2_Official</ability>
      <abilityName>公文问题</abilityName>
      <candidateList/>
      <explain>公文中禁止出现该词语</explain>
      <paraID>1E1489BE</paraID>
      <start>134</start>
      <end>136</end>
      <status>ignored</status>
      <modifiedWord/>
      <trackRevisions>false</trackRevisions>
    </reviewItem>
    <reviewItem>
      <errorID>16bf6cc8-c5b9-4d50-9585-1fdbca06cdbb</errorID>
      <errorWord>引领新质生产力</errorWord>
      <group>L1_Political</group>
      <groupName>政治性问题</groupName>
      <ability>L2_Keyword</ability>
      <abilityName>固定表述</abilityName>
      <candidateList>
        <item>引领发展新质生产力</item>
      </candidateList>
      <explain>词汇“引领发展新质生产力”在特定场景下为固定表述形式，请确认此处的“引领新质生产力”是否存在不当。</explain>
      <paraID> D62A6D0</paraID>
      <start>19</start>
      <end>26</end>
      <status>ignored</status>
      <modifiedWord/>
      <trackRevisions>false</trackRevisions>
    </reviewItem>
    <reviewItem>
      <errorID>6608e37b-ff89-4f09-bc11-4d533ca4092f</errorID>
      <errorWord>个</errorWord>
      <group>L1_Word</group>
      <groupName>字词问题</groupName>
      <ability>L2_Typo</ability>
      <abilityName>字词错误</abilityName>
      <candidateList>
        <item>条</item>
      </candidateList>
      <explain/>
      <paraID>1CA6215A</paraID>
      <start>52</start>
      <end>53</end>
      <status>ignored</status>
      <modifiedWord/>
      <trackRevisions>false</trackRevisions>
    </reviewItem>
    <reviewItem>
      <errorID>e591f7b4-2294-4aef-8dc6-6bc51431e644</errorID>
      <errorWord>呈现期</errorWord>
      <group>L1_Word</group>
      <groupName>字词问题</groupName>
      <ability>L2_Typo</ability>
      <abilityName>字词错误</abilityName>
      <candidateList>
        <item>呈现</item>
      </candidateList>
      <explain/>
      <paraID>1D1BC4C9</paraID>
      <start>11</start>
      <end>14</end>
      <status>ignored</status>
      <modifiedWord/>
      <trackRevisions>false</trackRevisions>
    </reviewItem>
    <reviewItem>
      <errorID>0ae35a02-33b9-4e4b-aa12-596591009769</errorID>
      <errorWord>，</errorWord>
      <group>L1_Word</group>
      <groupName>字词问题</groupName>
      <ability>L2_Typo</ability>
      <abilityName>字词错误</abilityName>
      <candidateList>
        <item>，以</item>
      </candidateList>
      <explain/>
      <paraID>6363437B</paraID>
      <start>31</start>
      <end>32</end>
      <status>ignored</status>
      <modifiedWord/>
      <trackRevisions>false</trackRevisions>
    </reviewItem>
    <reviewItem>
      <errorID>045a475b-4d47-4f6a-886c-efc1247d15f8</errorID>
      <errorWord>统</errorWord>
      <group>L1_Word</group>
      <groupName>字词问题</groupName>
      <ability>L2_Typo</ability>
      <abilityName>字词错误</abilityName>
      <candidateList>
        <item>统性</item>
      </candidateList>
      <explain/>
      <paraID>1FB22B6B</paraID>
      <start>158</start>
      <end>159</end>
      <status>ignored</status>
      <modifiedWord/>
      <trackRevisions>false</trackRevisions>
    </reviewItem>
    <reviewItem>
      <errorID>619e9322-fa7a-45c5-a4bc-b2bf2509ed33</errorID>
      <errorWord>[&gt;</errorWord>
      <group>L1_Punc</group>
      <groupName>标点问题</groupName>
      <ability>L2_Punc</ability>
      <abilityName>标点符号检查</abilityName>
      <candidateList>
        <item>[</item>
      </candidateList>
      <explain/>
      <paraID>28777956</paraID>
      <start>0</start>
      <end>2</end>
      <status>ignored</status>
      <modifiedWord/>
      <trackRevisions>false</trackRevisions>
    </reviewItem>
    <reviewItem>
      <errorID>cdb5b45c-2a90-488f-a10d-dac2b89c092a</errorID>
      <errorWord>特殊</errorWord>
      <group>L1_Word</group>
      <groupName>字词问题</groupName>
      <ability>L2_Typo</ability>
      <abilityName>字词错误</abilityName>
      <candidateList>
        <item>特色</item>
      </candidateList>
      <explain>〈名〉事物所表现的独特的色彩、风格等：民族～｜艺术～｜他们的表演各有～。</explain>
      <paraID>2DEE7F3E</paraID>
      <start>218</start>
      <end>220</end>
      <status>ignored</status>
      <modifiedWord/>
      <trackRevisions>false</trackRevisions>
    </reviewItem>
    <reviewItem>
      <errorID>85b81f83-f68a-4d3a-abb4-6df9c5f715ca</errorID>
      <errorWord>引领新质生产力发展</errorWord>
      <group>L1_Political</group>
      <groupName>政治性问题</groupName>
      <ability>L2_Keyword</ability>
      <abilityName>固定表述</abilityName>
      <candidateList>
        <item>引领发展新质生产力</item>
      </candidateList>
      <explain>词汇“引领发展新质生产力”在特定场景下为固定表述形式，请确认此处的“引领新质生产力发展”是否存在不当。</explain>
      <paraID>37B7D4DC</paraID>
      <start>10</start>
      <end>19</end>
      <status>ignored</status>
      <modifiedWord/>
      <trackRevisions>false</trackRevisions>
    </reviewItem>
    <reviewItem>
      <errorID>d32855dc-c51d-4415-aa4e-5cb30d9d6def</errorID>
      <errorWord>一二三产融合</errorWord>
      <group>L1_Political</group>
      <groupName>政治性问题</groupName>
      <ability>L2_Keyword</ability>
      <abilityName>固定表述</abilityName>
      <candidateList>
        <item>一二三产业融合</item>
      </candidateList>
      <explain>词汇“一二三产业融合”在特定场景下为固定表述形式，请确认此处的“一二三产融合”是否存在不当。</explain>
      <paraID>2FA224F8</paraID>
      <start>129</start>
      <end>135</end>
      <status>ignored</status>
      <modifiedWord/>
      <trackRevisions>false</trackRevisions>
    </reviewItem>
    <reviewItem>
      <errorID>9235e472-e8d3-49ee-a24e-d0794099e588</errorID>
      <errorWord>带货</errorWord>
      <group>L1_Official</group>
      <groupName>公文问题</groupName>
      <ability>L2_Official</ability>
      <abilityName>公文问题</abilityName>
      <candidateList/>
      <explain>公文中禁止出现该词语</explain>
      <paraID> 847C588</paraID>
      <start>194</start>
      <end>196</end>
      <status>ignored</status>
      <modifiedWord/>
      <trackRevisions>false</trackRevisions>
    </reviewItem>
    <reviewItem>
      <errorID>3e7b7a3a-cfd2-4efc-88d1-e0b34df4bae2</errorID>
      <errorWord>谷子经济</errorWord>
      <group>L1_Political</group>
      <groupName>政治性问题</groupName>
      <ability>L2_Keyword</ability>
      <abilityName>固定表述</abilityName>
      <candidateList>
        <item>“谷子经济”</item>
      </candidateList>
      <explain>注意检查当前固定表述标点是否使用规范。</explain>
      <paraID>27A2FF5F</paraID>
      <start>68</start>
      <end>72</end>
      <status>ignored</status>
      <modifiedWord/>
      <trackRevisions>false</trackRevisions>
    </reviewItem>
    <reviewItem>
      <errorID>12bb6009-0123-4e59-9d2e-4c84277468eb</errorID>
      <errorWord>内卷</errorWord>
      <group>L1_Official</group>
      <groupName>公文问题</groupName>
      <ability>L2_Official</ability>
      <abilityName>公文问题</abilityName>
      <candidateList/>
      <explain>公文中禁止出现该词语</explain>
      <paraID>6C1498BB</paraID>
      <start>85</start>
      <end>87</end>
      <status>ignored</status>
      <modifiedWord/>
      <trackRevisions>false</trackRevisions>
    </reviewItem>
    <reviewItem>
      <errorID>41e2f5e1-2ca6-49e7-9961-313a029c5d9e</errorID>
      <errorWord>智造</errorWord>
      <group>L1_Word</group>
      <groupName>字词问题</groupName>
      <ability>L2_Typo</ability>
      <abilityName>字词错误</abilityName>
      <candidateList>
        <item>制造</item>
      </candidateList>
      <explain/>
      <paraID>72B6519C</paraID>
      <start>45</start>
      <end>47</end>
      <status>ignored</status>
      <modifiedWord/>
      <trackRevisions>false</trackRevisions>
    </reviewItem>
    <reviewItem>
      <errorID>4bf26aa1-5341-4e14-94a2-07e24272f3b0</errorID>
      <errorWord>一头羊</errorWord>
      <group>L1_Word</group>
      <groupName>字词问题</groupName>
      <ability>L2_Typo</ability>
      <abilityName>字词错误</abilityName>
      <candidateList>
        <item>一只羊</item>
      </candidateList>
      <explain/>
      <paraID>1A58DD1A</paraID>
      <start>46</start>
      <end>49</end>
      <status>ignored</status>
      <modifiedWord/>
      <trackRevisions>false</trackRevisions>
    </reviewItem>
    <reviewItem>
      <errorID>a60f1aed-5c1d-4276-be85-0e6d6b971acb</errorID>
      <errorWord>名品</errorWord>
      <group>L1_Word</group>
      <groupName>字词问题</groupName>
      <ability>L2_Typo</ability>
      <abilityName>字词错误</abilityName>
      <candidateList>
        <item>精品</item>
      </candidateList>
      <explain/>
      <paraID>1902DAE1</paraID>
      <start>6</start>
      <end>8</end>
      <status>ignored</status>
      <modifiedWord/>
      <trackRevisions>false</trackRevisions>
    </reviewItem>
    <reviewItem>
      <errorID>a793df0e-6d70-4ea7-9f06-0451d460346f</errorID>
      <errorWord>带货</errorWord>
      <group>L1_Official</group>
      <groupName>公文问题</groupName>
      <ability>L2_Official</ability>
      <abilityName>公文问题</abilityName>
      <candidateList/>
      <explain>公文中禁止出现该词语</explain>
      <paraID>1539AEFF</paraID>
      <start>243</start>
      <end>245</end>
      <status>ignored</status>
      <modifiedWord/>
      <trackRevisions>false</trackRevisions>
    </reviewItem>
    <reviewItem>
      <errorID>ab32d034-cae6-4633-a467-298da7612f48</errorID>
      <errorWord>国家4A级景区</errorWord>
      <group>L1_Word</group>
      <groupName>字词问题</groupName>
      <ability>L2_Typo</ability>
      <abilityName>字词错误</abilityName>
      <candidateList>
        <item>国家4A级旅游景区</item>
      </candidateList>
      <explain/>
      <paraID>1D3A0180</paraID>
      <start>280</start>
      <end>287</end>
      <status>ignored</status>
      <modifiedWord/>
      <trackRevisions>false</trackRevisions>
    </reviewItem>
    <reviewItem>
      <errorID>ff07ca57-14fc-4d1f-9cb1-dec80ad252cf</errorID>
      <errorWord>帮促</errorWord>
      <group>L1_Word</group>
      <groupName>字词问题</groupName>
      <ability>L2_Typo</ability>
      <abilityName>字词错误</abilityName>
      <candidateList>
        <item>帮扶</item>
      </candidateList>
      <explain/>
      <paraID>383C605D</paraID>
      <start>248</start>
      <end>250</end>
      <status>ignored</status>
      <modifiedWord/>
      <trackRevisions>false</trackRevisions>
    </reviewItem>
    <reviewItem>
      <errorID>2b4fe05d-dce5-42ae-af9f-89a5b12923b6</errorID>
      <errorWord>个</errorWord>
      <group>L1_Word</group>
      <groupName>字词问题</groupName>
      <ability>L2_Typo</ability>
      <abilityName>字词错误</abilityName>
      <candidateList>
        <item>家</item>
      </candidateList>
      <explain/>
      <paraID>3A967480</paraID>
      <start>404</start>
      <end>405</end>
      <status>ignored</status>
      <modifiedWord/>
      <trackRevisions>false</trackRevisions>
    </reviewItem>
    <reviewItem>
      <errorID>eaf0476d-93dc-43a2-89b3-2bdc984f2718</errorID>
      <errorWord>害</errorWord>
      <group>L1_Word</group>
      <groupName>字词问题</groupName>
      <ability>L2_Typo</ability>
      <abilityName>字词错误</abilityName>
      <candidateList>
        <item>害保</item>
      </candidateList>
      <explain/>
      <paraID>4B7AE51D</paraID>
      <start>328</start>
      <end>329</end>
      <status>ignored</status>
      <modifiedWord/>
      <trackRevisions>false</trackRevisions>
    </reviewItem>
    <reviewItem>
      <errorID>0860b1d9-6157-4591-ac84-71b56ee6b6ff</errorID>
      <errorWord>KOL</errorWord>
      <group>L1_Official</group>
      <groupName>公文问题</groupName>
      <ability>L2_Official</ability>
      <abilityName>公文问题</abilityName>
      <candidateList/>
      <explain>公文中禁止出现该词语</explain>
      <paraID>5DF2B326</paraID>
      <start>85</start>
      <end>88</end>
      <status>ignored</status>
      <modifiedWord/>
      <trackRevisions>false</trackRevisions>
    </reviewItem>
    <reviewItem>
      <errorID>710e8e36-1bca-499a-b6c9-3ea4483beebf</errorID>
      <errorWord>结合</errorWord>
      <group>L1_Word</group>
      <groupName>字词问题</groupName>
      <ability>L2_Typo</ability>
      <abilityName>字词错误</abilityName>
      <candidateList>
        <item>接合</item>
      </candidateList>
      <explain/>
      <paraID>78565426</paraID>
      <start>100</start>
      <end>102</end>
      <status>ignored</status>
      <modifiedWord/>
      <trackRevisions>false</trackRevisions>
    </reviewItem>
    <reviewItem>
      <errorID>493f9f12-a9d0-4d6c-807d-f79189ad503d</errorID>
      <errorWord>安全生产治本攻坚行动</errorWord>
      <group>L1_Political</group>
      <groupName>政治性问题</groupName>
      <ability>L2_Keyword</ability>
      <abilityName>固定表述</abilityName>
      <candidateList>
        <item>安全生产治本攻坚三年行动</item>
      </candidateList>
      <explain>词汇“安全生产治本攻坚三年行动”在特定场景下为固定表述形式，请确认此处的“安全生产治本攻坚行动”是否存在不当。</explain>
      <paraID>3A8F01D8</paraID>
      <start>13</start>
      <end>23</end>
      <status>ignored</status>
      <modifiedWord/>
      <trackRevisions>false</trackRevisions>
    </reviewItem>
  </reviewItems>
  <config/>
</contractReview>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53ff8a4-659f-4c30-a454-c4d1b40f1918}">
  <ds:schemaRefs/>
</ds:datastoreItem>
</file>

<file path=customXml/itemProps3.xml><?xml version="1.0" encoding="utf-8"?>
<ds:datastoreItem xmlns:ds="http://schemas.openxmlformats.org/officeDocument/2006/customXml" ds:itemID="{D146B568-9EC1-4B3C-BEED-B3B226CCD12B}">
  <ds:schemaRefs/>
</ds:datastoreItem>
</file>

<file path=docProps/app.xml><?xml version="1.0" encoding="utf-8"?>
<Properties xmlns="http://schemas.openxmlformats.org/officeDocument/2006/extended-properties" xmlns:vt="http://schemas.openxmlformats.org/officeDocument/2006/docPropsVTypes">
  <Template>Normal.dotm</Template>
  <Pages>118</Pages>
  <Words>11827</Words>
  <Characters>12330</Characters>
  <Lines>1608</Lines>
  <Paragraphs>866</Paragraphs>
  <TotalTime>163</TotalTime>
  <ScaleCrop>false</ScaleCrop>
  <LinksUpToDate>false</LinksUpToDate>
  <CharactersWithSpaces>12633</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2025-08-22T02:54:00Z</dcterms:created>
  <dc:creator>ww</dc:creator>
  <cp:lastModifiedBy>张志伟</cp:lastModifiedBy>
  <cp:lastPrinted>2026-02-14T01:04:00Z</cp:lastPrinted>
  <dcterms:modified xsi:type="dcterms:W3CDTF">2026-02-28T08:32:58Z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DCF9D59B417A47A28F484D043B5155AD_13</vt:lpwstr>
  </property>
  <property fmtid="{D5CDD505-2E9C-101B-9397-08002B2CF9AE}" pid="4" name="KSOTemplateDocerSaveRecord">
    <vt:lpwstr>eyJoZGlkIjoiNzg3NDFjZTgyYTFiNjVlZmM1NDYxYzZlNDVmMzU2MGUiLCJ1c2VySWQiOiIxNzYyOTk1MTMyIn0=</vt:lpwstr>
  </property>
</Properties>
</file>